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整体态势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首页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断面及风险源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一河一策一图</w:t>
      </w:r>
    </w:p>
    <w:p>
      <w:pPr>
        <w:pStyle w:val="11"/>
        <w:bidi w:val="0"/>
        <w:rPr>
          <w:rFonts w:hint="eastAsia"/>
          <w:highlight w:val="green"/>
          <w:lang w:val="en-US" w:eastAsia="zh-CN"/>
        </w:rPr>
      </w:pPr>
      <w:r>
        <w:rPr>
          <w:rFonts w:hint="eastAsia"/>
          <w:highlight w:val="green"/>
          <w:lang w:val="en-US" w:eastAsia="zh-CN"/>
        </w:rPr>
        <w:t>一河一策一图清单弹窗中“河流名称”列，字体改为蓝色，点击地图上定位该河流，高亮显示；</w:t>
      </w:r>
    </w:p>
    <w:p>
      <w:pPr>
        <w:pStyle w:val="18"/>
        <w:bidi w:val="0"/>
      </w:pPr>
      <w:r>
        <w:drawing>
          <wp:inline distT="0" distB="0" distL="114300" distR="114300">
            <wp:extent cx="5266690" cy="2578735"/>
            <wp:effectExtent l="0" t="0" r="1016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河流湖库</w:t>
      </w:r>
    </w:p>
    <w:p>
      <w:pPr>
        <w:pStyle w:val="18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1825625" cy="2355215"/>
            <wp:effectExtent l="0" t="0" r="317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  <w:rPr>
          <w:highlight w:val="green"/>
        </w:rPr>
      </w:pPr>
      <w:r>
        <w:rPr>
          <w:rFonts w:hint="eastAsia"/>
          <w:highlight w:val="green"/>
          <w:lang w:val="en-US" w:eastAsia="zh-CN"/>
        </w:rPr>
        <w:t>点击河流，地图上河流高亮同时，显示出河流弹窗，弹框默认收起不展开显示，点击收起则收起如下图标；</w:t>
      </w:r>
    </w:p>
    <w:p>
      <w:pPr>
        <w:pStyle w:val="18"/>
        <w:bidi w:val="0"/>
      </w:pPr>
      <w:r>
        <w:drawing>
          <wp:inline distT="0" distB="0" distL="114300" distR="114300">
            <wp:extent cx="885825" cy="86677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</w:pPr>
      <w:r>
        <w:drawing>
          <wp:inline distT="0" distB="0" distL="114300" distR="114300">
            <wp:extent cx="5266690" cy="2578735"/>
            <wp:effectExtent l="0" t="0" r="10160" b="120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  <w:rPr>
          <w:highlight w:val="green"/>
        </w:rPr>
      </w:pPr>
      <w:r>
        <w:rPr>
          <w:rFonts w:hint="eastAsia"/>
          <w:highlight w:val="green"/>
          <w:lang w:val="en-US" w:eastAsia="zh-CN"/>
        </w:rPr>
        <w:t>弹窗参考断面的弹窗“溯源分析”具体显示内容如下，点击“—”收起弹窗，点击“X”关闭弹窗</w:t>
      </w:r>
    </w:p>
    <w:tbl>
      <w:tblPr>
        <w:tblStyle w:val="1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3"/>
        <w:gridCol w:w="1514"/>
        <w:gridCol w:w="2896"/>
        <w:gridCol w:w="22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4"/>
            <w:shd w:val="clear" w:color="auto" w:fill="00B0F0"/>
          </w:tcPr>
          <w:p>
            <w:pPr>
              <w:pStyle w:val="12"/>
              <w:bidi w:val="0"/>
              <w:rPr>
                <w:rFonts w:hint="default"/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河流名称                                     —  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4"/>
          </w:tcPr>
          <w:p>
            <w:pPr>
              <w:pStyle w:val="12"/>
              <w:bidi w:val="0"/>
              <w:rPr>
                <w:b/>
                <w:bCs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监测断面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</w:trPr>
        <w:tc>
          <w:tcPr>
            <w:tcW w:w="1064" w:type="pct"/>
          </w:tcPr>
          <w:p>
            <w:pPr>
              <w:pStyle w:val="18"/>
              <w:bidi w:val="0"/>
              <w:rPr>
                <w:rFonts w:hint="eastAsia" w:eastAsia="仿宋_GB2312"/>
                <w:b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 w:val="0"/>
                <w:vertAlign w:val="baseline"/>
                <w:lang w:val="en-US" w:eastAsia="zh-CN"/>
              </w:rPr>
              <w:t>断面名称</w:t>
            </w:r>
          </w:p>
        </w:tc>
        <w:tc>
          <w:tcPr>
            <w:tcW w:w="888" w:type="pct"/>
          </w:tcPr>
          <w:p>
            <w:pPr>
              <w:pStyle w:val="18"/>
              <w:bidi w:val="0"/>
              <w:rPr>
                <w:rFonts w:hint="eastAsia" w:eastAsia="仿宋_GB2312"/>
                <w:b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 w:val="0"/>
                <w:vertAlign w:val="baseline"/>
                <w:lang w:val="en-US" w:eastAsia="zh-CN"/>
              </w:rPr>
              <w:t>行政区划</w:t>
            </w:r>
          </w:p>
        </w:tc>
        <w:tc>
          <w:tcPr>
            <w:tcW w:w="1699" w:type="pct"/>
          </w:tcPr>
          <w:p>
            <w:pPr>
              <w:pStyle w:val="18"/>
              <w:bidi w:val="0"/>
              <w:rPr>
                <w:rFonts w:hint="default" w:eastAsia="仿宋_GB2312"/>
                <w:b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 w:val="0"/>
                <w:vertAlign w:val="baseline"/>
                <w:lang w:val="en-US" w:eastAsia="zh-CN"/>
              </w:rPr>
              <w:t>水质类别</w:t>
            </w:r>
          </w:p>
        </w:tc>
        <w:tc>
          <w:tcPr>
            <w:tcW w:w="1348" w:type="pct"/>
          </w:tcPr>
          <w:p>
            <w:pPr>
              <w:pStyle w:val="18"/>
              <w:bidi w:val="0"/>
              <w:rPr>
                <w:rFonts w:hint="default"/>
                <w:b/>
                <w:bCs w:val="0"/>
                <w:lang w:val="en-US" w:eastAsia="zh-CN"/>
              </w:rPr>
            </w:pPr>
            <w:r>
              <w:rPr>
                <w:rFonts w:hint="eastAsia"/>
                <w:b/>
                <w:bCs w:val="0"/>
                <w:lang w:val="en-US" w:eastAsia="zh-CN"/>
              </w:rPr>
              <w:t>超标因子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4" w:type="pct"/>
          </w:tcPr>
          <w:p>
            <w:pPr>
              <w:pStyle w:val="18"/>
              <w:bidi w:val="0"/>
              <w:rPr>
                <w:rFonts w:hint="default" w:eastAsia="仿宋_GB2312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名称1</w:t>
            </w:r>
          </w:p>
        </w:tc>
        <w:tc>
          <w:tcPr>
            <w:tcW w:w="888" w:type="pct"/>
          </w:tcPr>
          <w:p>
            <w:pPr>
              <w:pStyle w:val="18"/>
              <w:bidi w:val="0"/>
              <w:rPr>
                <w:vertAlign w:val="baseline"/>
              </w:rPr>
            </w:pPr>
          </w:p>
        </w:tc>
        <w:tc>
          <w:tcPr>
            <w:tcW w:w="1699" w:type="pct"/>
          </w:tcPr>
          <w:p>
            <w:pPr>
              <w:pStyle w:val="18"/>
              <w:bidi w:val="0"/>
              <w:rPr>
                <w:vertAlign w:val="baseline"/>
              </w:rPr>
            </w:pPr>
          </w:p>
        </w:tc>
        <w:tc>
          <w:tcPr>
            <w:tcW w:w="1348" w:type="pct"/>
          </w:tcPr>
          <w:p>
            <w:pPr>
              <w:pStyle w:val="18"/>
              <w:bidi w:val="0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氟化物（1.2mg/L，超标0.2倍）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4"/>
          </w:tcPr>
          <w:p>
            <w:pPr>
              <w:pStyle w:val="12"/>
              <w:bidi w:val="0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入河排污口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4" w:type="pct"/>
          </w:tcPr>
          <w:p>
            <w:pPr>
              <w:pStyle w:val="18"/>
              <w:bidi w:val="0"/>
              <w:rPr>
                <w:rFonts w:hint="default" w:eastAsia="仿宋_GB2312"/>
                <w:b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 w:val="0"/>
                <w:vertAlign w:val="baseline"/>
                <w:lang w:val="en-US" w:eastAsia="zh-CN"/>
              </w:rPr>
              <w:t>排污口名称</w:t>
            </w:r>
          </w:p>
        </w:tc>
        <w:tc>
          <w:tcPr>
            <w:tcW w:w="888" w:type="pct"/>
          </w:tcPr>
          <w:p>
            <w:pPr>
              <w:pStyle w:val="18"/>
              <w:bidi w:val="0"/>
              <w:rPr>
                <w:b/>
                <w:bCs w:val="0"/>
                <w:vertAlign w:val="baseline"/>
              </w:rPr>
            </w:pPr>
            <w:r>
              <w:rPr>
                <w:rFonts w:hint="eastAsia"/>
                <w:b/>
                <w:bCs w:val="0"/>
                <w:vertAlign w:val="baseline"/>
                <w:lang w:val="en-US" w:eastAsia="zh-CN"/>
              </w:rPr>
              <w:t>行政区划</w:t>
            </w:r>
          </w:p>
        </w:tc>
        <w:tc>
          <w:tcPr>
            <w:tcW w:w="1699" w:type="pct"/>
          </w:tcPr>
          <w:p>
            <w:pPr>
              <w:pStyle w:val="18"/>
              <w:bidi w:val="0"/>
              <w:rPr>
                <w:rFonts w:hint="eastAsia" w:eastAsia="仿宋_GB2312"/>
                <w:b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 w:val="0"/>
                <w:vertAlign w:val="baseline"/>
                <w:lang w:val="en-US" w:eastAsia="zh-CN"/>
              </w:rPr>
              <w:t>排口类型</w:t>
            </w:r>
          </w:p>
        </w:tc>
        <w:tc>
          <w:tcPr>
            <w:tcW w:w="1348" w:type="pct"/>
          </w:tcPr>
          <w:p>
            <w:pPr>
              <w:pStyle w:val="18"/>
              <w:bidi w:val="0"/>
              <w:rPr>
                <w:rFonts w:hint="eastAsia" w:eastAsia="仿宋_GB2312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详情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4" w:type="pct"/>
          </w:tcPr>
          <w:p>
            <w:pPr>
              <w:pStyle w:val="18"/>
              <w:bidi w:val="0"/>
              <w:rPr>
                <w:color w:val="0000FF"/>
                <w:vertAlign w:val="baseline"/>
              </w:rPr>
            </w:pP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名称1</w:t>
            </w:r>
          </w:p>
        </w:tc>
        <w:tc>
          <w:tcPr>
            <w:tcW w:w="888" w:type="pct"/>
          </w:tcPr>
          <w:p>
            <w:pPr>
              <w:pStyle w:val="18"/>
              <w:bidi w:val="0"/>
              <w:rPr>
                <w:vertAlign w:val="baseline"/>
              </w:rPr>
            </w:pPr>
          </w:p>
        </w:tc>
        <w:tc>
          <w:tcPr>
            <w:tcW w:w="1699" w:type="pct"/>
          </w:tcPr>
          <w:p>
            <w:pPr>
              <w:pStyle w:val="18"/>
              <w:bidi w:val="0"/>
              <w:rPr>
                <w:vertAlign w:val="baseline"/>
              </w:rPr>
            </w:pPr>
          </w:p>
        </w:tc>
        <w:tc>
          <w:tcPr>
            <w:tcW w:w="1348" w:type="pct"/>
            <w:vAlign w:val="top"/>
          </w:tcPr>
          <w:p>
            <w:pPr>
              <w:pStyle w:val="18"/>
              <w:bidi w:val="0"/>
              <w:ind w:firstLine="0" w:firstLineChars="0"/>
              <w:rPr>
                <w:rFonts w:hint="eastAsia" w:ascii="Times New Roman" w:hAnsi="Times New Roman" w:eastAsia="仿宋_GB2312" w:cs="Times New Roman"/>
                <w:bCs/>
                <w:color w:val="0000FF"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企业信息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3651" w:type="pct"/>
            <w:gridSpan w:val="3"/>
          </w:tcPr>
          <w:p>
            <w:pPr>
              <w:pStyle w:val="12"/>
              <w:bidi w:val="0"/>
              <w:rPr>
                <w:rFonts w:hint="eastAsia" w:eastAsia="仿宋_GB2312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</w:rPr>
              <w:t>污水处理</w:t>
            </w:r>
            <w:r>
              <w:rPr>
                <w:rFonts w:hint="eastAsia"/>
                <w:b/>
                <w:bCs/>
                <w:lang w:val="en-US" w:eastAsia="zh-CN"/>
              </w:rPr>
              <w:t>设施</w:t>
            </w:r>
          </w:p>
        </w:tc>
        <w:tc>
          <w:tcPr>
            <w:tcW w:w="1348" w:type="pct"/>
            <w:shd w:val="clear" w:color="auto" w:fill="00B0F0"/>
          </w:tcPr>
          <w:p>
            <w:pPr>
              <w:pStyle w:val="18"/>
              <w:bidi w:val="0"/>
              <w:rPr>
                <w:rFonts w:hint="default" w:eastAsia="仿宋_GB2312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在线数据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4" w:type="pct"/>
          </w:tcPr>
          <w:p>
            <w:pPr>
              <w:pStyle w:val="18"/>
              <w:bidi w:val="0"/>
              <w:rPr>
                <w:rFonts w:hint="eastAsia" w:eastAsia="仿宋_GB2312"/>
                <w:b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 w:val="0"/>
                <w:vertAlign w:val="baseline"/>
                <w:lang w:val="en-US" w:eastAsia="zh-CN"/>
              </w:rPr>
              <w:t>单位名称</w:t>
            </w:r>
          </w:p>
        </w:tc>
        <w:tc>
          <w:tcPr>
            <w:tcW w:w="888" w:type="pct"/>
          </w:tcPr>
          <w:p>
            <w:pPr>
              <w:pStyle w:val="18"/>
              <w:bidi w:val="0"/>
              <w:rPr>
                <w:rFonts w:hint="eastAsia" w:eastAsia="仿宋_GB2312"/>
                <w:b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 w:val="0"/>
                <w:vertAlign w:val="baseline"/>
                <w:lang w:val="en-US" w:eastAsia="zh-CN"/>
              </w:rPr>
              <w:t>行政区划</w:t>
            </w:r>
          </w:p>
        </w:tc>
        <w:tc>
          <w:tcPr>
            <w:tcW w:w="1699" w:type="pct"/>
          </w:tcPr>
          <w:p>
            <w:pPr>
              <w:pStyle w:val="18"/>
              <w:bidi w:val="0"/>
              <w:rPr>
                <w:rFonts w:hint="eastAsia" w:eastAsia="仿宋_GB2312"/>
                <w:b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 w:val="0"/>
                <w:vertAlign w:val="baseline"/>
                <w:lang w:val="en-US" w:eastAsia="zh-CN"/>
              </w:rPr>
              <w:t>企业类型</w:t>
            </w:r>
          </w:p>
        </w:tc>
        <w:tc>
          <w:tcPr>
            <w:tcW w:w="1348" w:type="pct"/>
          </w:tcPr>
          <w:p>
            <w:pPr>
              <w:pStyle w:val="18"/>
              <w:bidi w:val="0"/>
              <w:rPr>
                <w:rFonts w:hint="eastAsia" w:eastAsia="仿宋_GB2312"/>
                <w:b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 w:val="0"/>
                <w:vertAlign w:val="baseline"/>
                <w:lang w:val="en-US" w:eastAsia="zh-CN"/>
              </w:rPr>
              <w:t>详情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4" w:type="pct"/>
          </w:tcPr>
          <w:p>
            <w:pPr>
              <w:pStyle w:val="18"/>
              <w:bidi w:val="0"/>
              <w:rPr>
                <w:rFonts w:hint="eastAsia"/>
                <w:color w:val="0000FF"/>
                <w:vertAlign w:val="baseline"/>
              </w:rPr>
            </w:pP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名称1</w:t>
            </w:r>
          </w:p>
        </w:tc>
        <w:tc>
          <w:tcPr>
            <w:tcW w:w="888" w:type="pct"/>
          </w:tcPr>
          <w:p>
            <w:pPr>
              <w:pStyle w:val="18"/>
              <w:bidi w:val="0"/>
              <w:rPr>
                <w:vertAlign w:val="baseline"/>
              </w:rPr>
            </w:pPr>
          </w:p>
        </w:tc>
        <w:tc>
          <w:tcPr>
            <w:tcW w:w="1699" w:type="pct"/>
          </w:tcPr>
          <w:p>
            <w:pPr>
              <w:pStyle w:val="18"/>
              <w:bidi w:val="0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城镇污水处理厂</w:t>
            </w:r>
          </w:p>
        </w:tc>
        <w:tc>
          <w:tcPr>
            <w:tcW w:w="1348" w:type="pct"/>
          </w:tcPr>
          <w:p>
            <w:pPr>
              <w:pStyle w:val="18"/>
              <w:bidi w:val="0"/>
              <w:rPr>
                <w:rFonts w:hint="eastAsia" w:eastAsia="仿宋_GB2312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企业信息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4" w:type="pct"/>
          </w:tcPr>
          <w:p>
            <w:pPr>
              <w:pStyle w:val="18"/>
              <w:bidi w:val="0"/>
              <w:rPr>
                <w:rFonts w:hint="eastAsia"/>
                <w:color w:val="0000FF"/>
                <w:vertAlign w:val="baseline"/>
              </w:rPr>
            </w:pP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名称2</w:t>
            </w:r>
          </w:p>
        </w:tc>
        <w:tc>
          <w:tcPr>
            <w:tcW w:w="888" w:type="pct"/>
          </w:tcPr>
          <w:p>
            <w:pPr>
              <w:pStyle w:val="18"/>
              <w:bidi w:val="0"/>
              <w:rPr>
                <w:vertAlign w:val="baseline"/>
              </w:rPr>
            </w:pPr>
          </w:p>
        </w:tc>
        <w:tc>
          <w:tcPr>
            <w:tcW w:w="1699" w:type="pct"/>
          </w:tcPr>
          <w:p>
            <w:pPr>
              <w:pStyle w:val="18"/>
              <w:bidi w:val="0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农村集中式污水处理设施</w:t>
            </w:r>
          </w:p>
        </w:tc>
        <w:tc>
          <w:tcPr>
            <w:tcW w:w="1348" w:type="pct"/>
          </w:tcPr>
          <w:p>
            <w:pPr>
              <w:pStyle w:val="18"/>
              <w:bidi w:val="0"/>
              <w:rPr>
                <w:color w:val="0000FF"/>
              </w:rPr>
            </w:pPr>
            <w:r>
              <w:rPr>
                <w:rFonts w:hint="eastAsia"/>
                <w:color w:val="0000FF"/>
                <w:lang w:val="en-US" w:eastAsia="zh-CN"/>
              </w:rPr>
              <w:t>企业信息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4" w:type="pct"/>
          </w:tcPr>
          <w:p>
            <w:pPr>
              <w:pStyle w:val="18"/>
              <w:bidi w:val="0"/>
              <w:rPr>
                <w:rFonts w:hint="eastAsia"/>
                <w:color w:val="0000FF"/>
                <w:vertAlign w:val="baseline"/>
              </w:rPr>
            </w:pP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名称3</w:t>
            </w:r>
          </w:p>
        </w:tc>
        <w:tc>
          <w:tcPr>
            <w:tcW w:w="888" w:type="pct"/>
          </w:tcPr>
          <w:p>
            <w:pPr>
              <w:pStyle w:val="18"/>
              <w:bidi w:val="0"/>
              <w:rPr>
                <w:vertAlign w:val="baseline"/>
              </w:rPr>
            </w:pPr>
          </w:p>
        </w:tc>
        <w:tc>
          <w:tcPr>
            <w:tcW w:w="1699" w:type="pct"/>
          </w:tcPr>
          <w:p>
            <w:pPr>
              <w:pStyle w:val="18"/>
              <w:bidi w:val="0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工业污水集中处理厂</w:t>
            </w:r>
          </w:p>
        </w:tc>
        <w:tc>
          <w:tcPr>
            <w:tcW w:w="1348" w:type="pct"/>
          </w:tcPr>
          <w:p>
            <w:pPr>
              <w:pStyle w:val="18"/>
              <w:bidi w:val="0"/>
              <w:rPr>
                <w:color w:val="0000FF"/>
              </w:rPr>
            </w:pPr>
            <w:r>
              <w:rPr>
                <w:rFonts w:hint="eastAsia"/>
                <w:color w:val="0000FF"/>
                <w:lang w:val="en-US" w:eastAsia="zh-CN"/>
              </w:rPr>
              <w:t>企业信息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4"/>
          </w:tcPr>
          <w:p>
            <w:pPr>
              <w:pStyle w:val="12"/>
              <w:bidi w:val="0"/>
              <w:rPr>
                <w:b/>
                <w:bCs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涉水</w:t>
            </w:r>
            <w:r>
              <w:rPr>
                <w:rFonts w:hint="eastAsia"/>
                <w:b/>
                <w:bCs/>
              </w:rPr>
              <w:t>工业企业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4" w:type="pct"/>
            <w:vAlign w:val="top"/>
          </w:tcPr>
          <w:p>
            <w:pPr>
              <w:pStyle w:val="18"/>
              <w:bidi w:val="0"/>
              <w:ind w:firstLine="0" w:firstLineChars="0"/>
              <w:rPr>
                <w:rFonts w:hint="eastAsia" w:ascii="Times New Roman" w:hAnsi="Times New Roman" w:eastAsia="仿宋_GB2312" w:cs="Times New Roman"/>
                <w:b/>
                <w:bCs w:val="0"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 w:val="0"/>
                <w:vertAlign w:val="baseline"/>
                <w:lang w:val="en-US" w:eastAsia="zh-CN"/>
              </w:rPr>
              <w:t>单位名称</w:t>
            </w:r>
          </w:p>
        </w:tc>
        <w:tc>
          <w:tcPr>
            <w:tcW w:w="888" w:type="pct"/>
            <w:vAlign w:val="top"/>
          </w:tcPr>
          <w:p>
            <w:pPr>
              <w:pStyle w:val="18"/>
              <w:bidi w:val="0"/>
              <w:ind w:firstLine="0" w:firstLineChars="0"/>
              <w:rPr>
                <w:rFonts w:hint="eastAsia" w:ascii="Times New Roman" w:hAnsi="Times New Roman" w:eastAsia="仿宋_GB2312" w:cs="Times New Roman"/>
                <w:b/>
                <w:bCs w:val="0"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 w:val="0"/>
                <w:vertAlign w:val="baseline"/>
                <w:lang w:val="en-US" w:eastAsia="zh-CN"/>
              </w:rPr>
              <w:t>行政区划</w:t>
            </w:r>
          </w:p>
        </w:tc>
        <w:tc>
          <w:tcPr>
            <w:tcW w:w="1699" w:type="pct"/>
            <w:vAlign w:val="top"/>
          </w:tcPr>
          <w:p>
            <w:pPr>
              <w:pStyle w:val="18"/>
              <w:bidi w:val="0"/>
              <w:ind w:firstLine="0" w:firstLineChars="0"/>
              <w:rPr>
                <w:rFonts w:hint="eastAsia" w:ascii="Times New Roman" w:hAnsi="Times New Roman" w:eastAsia="仿宋_GB2312" w:cs="Times New Roman"/>
                <w:b/>
                <w:bCs w:val="0"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 w:val="0"/>
                <w:vertAlign w:val="baseline"/>
                <w:lang w:val="en-US" w:eastAsia="zh-CN"/>
              </w:rPr>
              <w:t>企业类型</w:t>
            </w:r>
          </w:p>
        </w:tc>
        <w:tc>
          <w:tcPr>
            <w:tcW w:w="1348" w:type="pct"/>
          </w:tcPr>
          <w:p>
            <w:pPr>
              <w:pStyle w:val="18"/>
              <w:bidi w:val="0"/>
              <w:rPr>
                <w:b/>
                <w:bCs w:val="0"/>
                <w:vertAlign w:val="baseline"/>
              </w:rPr>
            </w:pPr>
            <w:r>
              <w:rPr>
                <w:rFonts w:hint="eastAsia"/>
                <w:b/>
                <w:bCs w:val="0"/>
                <w:vertAlign w:val="baseline"/>
                <w:lang w:val="en-US" w:eastAsia="zh-CN"/>
              </w:rPr>
              <w:t>详情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4" w:type="pct"/>
          </w:tcPr>
          <w:p>
            <w:pPr>
              <w:pStyle w:val="18"/>
              <w:bidi w:val="0"/>
              <w:rPr>
                <w:rFonts w:hint="eastAsia"/>
                <w:color w:val="0000FF"/>
                <w:vertAlign w:val="baseline"/>
              </w:rPr>
            </w:pP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名称1</w:t>
            </w:r>
          </w:p>
        </w:tc>
        <w:tc>
          <w:tcPr>
            <w:tcW w:w="888" w:type="pct"/>
          </w:tcPr>
          <w:p>
            <w:pPr>
              <w:pStyle w:val="18"/>
              <w:bidi w:val="0"/>
              <w:rPr>
                <w:vertAlign w:val="baseline"/>
              </w:rPr>
            </w:pPr>
          </w:p>
        </w:tc>
        <w:tc>
          <w:tcPr>
            <w:tcW w:w="1699" w:type="pct"/>
          </w:tcPr>
          <w:p>
            <w:pPr>
              <w:pStyle w:val="18"/>
              <w:bidi w:val="0"/>
              <w:rPr>
                <w:vertAlign w:val="baseline"/>
              </w:rPr>
            </w:pPr>
          </w:p>
        </w:tc>
        <w:tc>
          <w:tcPr>
            <w:tcW w:w="1348" w:type="pct"/>
            <w:vAlign w:val="top"/>
          </w:tcPr>
          <w:p>
            <w:pPr>
              <w:pStyle w:val="18"/>
              <w:bidi w:val="0"/>
              <w:ind w:firstLine="0" w:firstLineChars="0"/>
              <w:rPr>
                <w:vertAlign w:val="baseline"/>
              </w:rPr>
            </w:pP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企业信息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4"/>
          </w:tcPr>
          <w:p>
            <w:pPr>
              <w:pStyle w:val="12"/>
              <w:bidi w:val="0"/>
              <w:rPr>
                <w:rFonts w:hint="eastAsia" w:eastAsia="仿宋_GB2312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</w:rPr>
              <w:t>规模化畜禽养殖</w:t>
            </w:r>
            <w:r>
              <w:rPr>
                <w:rFonts w:hint="eastAsia"/>
                <w:b/>
                <w:bCs/>
                <w:lang w:val="en-US" w:eastAsia="zh-CN"/>
              </w:rPr>
              <w:t>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4" w:type="pct"/>
            <w:vAlign w:val="top"/>
          </w:tcPr>
          <w:p>
            <w:pPr>
              <w:pStyle w:val="18"/>
              <w:bidi w:val="0"/>
              <w:ind w:firstLine="0" w:firstLineChars="0"/>
              <w:rPr>
                <w:rFonts w:hint="eastAsia"/>
                <w:vertAlign w:val="baseline"/>
              </w:rPr>
            </w:pPr>
            <w:r>
              <w:rPr>
                <w:rFonts w:hint="eastAsia"/>
                <w:b/>
                <w:bCs w:val="0"/>
                <w:vertAlign w:val="baseline"/>
                <w:lang w:val="en-US" w:eastAsia="zh-CN"/>
              </w:rPr>
              <w:t>单位名称</w:t>
            </w:r>
          </w:p>
        </w:tc>
        <w:tc>
          <w:tcPr>
            <w:tcW w:w="888" w:type="pct"/>
            <w:vAlign w:val="top"/>
          </w:tcPr>
          <w:p>
            <w:pPr>
              <w:pStyle w:val="18"/>
              <w:bidi w:val="0"/>
              <w:ind w:firstLine="0" w:firstLineChars="0"/>
              <w:rPr>
                <w:vertAlign w:val="baseline"/>
              </w:rPr>
            </w:pPr>
            <w:r>
              <w:rPr>
                <w:rFonts w:hint="eastAsia"/>
                <w:b/>
                <w:bCs w:val="0"/>
                <w:vertAlign w:val="baseline"/>
                <w:lang w:val="en-US" w:eastAsia="zh-CN"/>
              </w:rPr>
              <w:t>行政区划</w:t>
            </w:r>
          </w:p>
        </w:tc>
        <w:tc>
          <w:tcPr>
            <w:tcW w:w="1699" w:type="pct"/>
            <w:vAlign w:val="top"/>
          </w:tcPr>
          <w:p>
            <w:pPr>
              <w:pStyle w:val="18"/>
              <w:bidi w:val="0"/>
              <w:ind w:firstLine="0" w:firstLineChars="0"/>
              <w:rPr>
                <w:vertAlign w:val="baseline"/>
              </w:rPr>
            </w:pPr>
            <w:r>
              <w:rPr>
                <w:rFonts w:hint="eastAsia"/>
                <w:b/>
                <w:bCs w:val="0"/>
                <w:vertAlign w:val="baseline"/>
                <w:lang w:val="en-US" w:eastAsia="zh-CN"/>
              </w:rPr>
              <w:t>详情</w:t>
            </w:r>
          </w:p>
        </w:tc>
        <w:tc>
          <w:tcPr>
            <w:tcW w:w="1348" w:type="pct"/>
          </w:tcPr>
          <w:p>
            <w:pPr>
              <w:pStyle w:val="18"/>
              <w:bidi w:val="0"/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4" w:type="pct"/>
          </w:tcPr>
          <w:p>
            <w:pPr>
              <w:pStyle w:val="18"/>
              <w:bidi w:val="0"/>
              <w:rPr>
                <w:rFonts w:hint="eastAsia"/>
                <w:vertAlign w:val="baseline"/>
              </w:rPr>
            </w:pP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名称1</w:t>
            </w:r>
          </w:p>
        </w:tc>
        <w:tc>
          <w:tcPr>
            <w:tcW w:w="888" w:type="pct"/>
          </w:tcPr>
          <w:p>
            <w:pPr>
              <w:pStyle w:val="18"/>
              <w:bidi w:val="0"/>
              <w:rPr>
                <w:vertAlign w:val="baseline"/>
              </w:rPr>
            </w:pPr>
          </w:p>
        </w:tc>
        <w:tc>
          <w:tcPr>
            <w:tcW w:w="1699" w:type="pct"/>
          </w:tcPr>
          <w:p>
            <w:pPr>
              <w:pStyle w:val="18"/>
              <w:bidi w:val="0"/>
              <w:rPr>
                <w:vertAlign w:val="baseline"/>
              </w:rPr>
            </w:pPr>
          </w:p>
        </w:tc>
        <w:tc>
          <w:tcPr>
            <w:tcW w:w="1348" w:type="pct"/>
          </w:tcPr>
          <w:p>
            <w:pPr>
              <w:pStyle w:val="18"/>
              <w:bidi w:val="0"/>
              <w:rPr>
                <w:vertAlign w:val="baseline"/>
              </w:rPr>
            </w:pP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企业信息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4"/>
            <w:vAlign w:val="top"/>
          </w:tcPr>
          <w:p>
            <w:pPr>
              <w:pStyle w:val="12"/>
              <w:bidi w:val="0"/>
            </w:pPr>
            <w:r>
              <w:rPr>
                <w:rFonts w:hint="eastAsia"/>
                <w:b/>
                <w:bCs/>
                <w:lang w:val="en-US" w:eastAsia="zh-CN"/>
              </w:rPr>
              <w:t>水产</w:t>
            </w:r>
            <w:r>
              <w:rPr>
                <w:rFonts w:hint="eastAsia"/>
                <w:b/>
                <w:bCs/>
              </w:rPr>
              <w:t>养殖</w:t>
            </w:r>
            <w:r>
              <w:rPr>
                <w:rFonts w:hint="eastAsia"/>
                <w:b/>
                <w:bCs/>
                <w:lang w:val="en-US" w:eastAsia="zh-CN"/>
              </w:rPr>
              <w:t>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4" w:type="pct"/>
            <w:vAlign w:val="top"/>
          </w:tcPr>
          <w:p>
            <w:pPr>
              <w:pStyle w:val="18"/>
              <w:bidi w:val="0"/>
              <w:ind w:firstLine="0" w:firstLineChars="0"/>
              <w:rPr>
                <w:rFonts w:hint="eastAsia" w:ascii="Times New Roman" w:hAnsi="Times New Roman" w:eastAsia="仿宋_GB2312" w:cs="Times New Roman"/>
                <w:bCs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 w:val="0"/>
                <w:vertAlign w:val="baseline"/>
                <w:lang w:val="en-US" w:eastAsia="zh-CN"/>
              </w:rPr>
              <w:t>单位名称</w:t>
            </w:r>
          </w:p>
        </w:tc>
        <w:tc>
          <w:tcPr>
            <w:tcW w:w="888" w:type="pct"/>
            <w:vAlign w:val="top"/>
          </w:tcPr>
          <w:p>
            <w:pPr>
              <w:pStyle w:val="18"/>
              <w:bidi w:val="0"/>
              <w:ind w:firstLine="0" w:firstLineChars="0"/>
              <w:rPr>
                <w:rFonts w:ascii="Times New Roman" w:hAnsi="Times New Roman" w:eastAsia="仿宋_GB2312" w:cs="Times New Roman"/>
                <w:bCs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 w:val="0"/>
                <w:vertAlign w:val="baseline"/>
                <w:lang w:val="en-US" w:eastAsia="zh-CN"/>
              </w:rPr>
              <w:t>行政区划</w:t>
            </w:r>
          </w:p>
        </w:tc>
        <w:tc>
          <w:tcPr>
            <w:tcW w:w="1699" w:type="pct"/>
            <w:vAlign w:val="top"/>
          </w:tcPr>
          <w:p>
            <w:pPr>
              <w:pStyle w:val="18"/>
              <w:bidi w:val="0"/>
              <w:ind w:firstLine="0" w:firstLineChars="0"/>
              <w:rPr>
                <w:rFonts w:ascii="Times New Roman" w:hAnsi="Times New Roman" w:eastAsia="仿宋_GB2312" w:cs="Times New Roman"/>
                <w:bCs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 w:val="0"/>
                <w:vertAlign w:val="baseline"/>
                <w:lang w:val="en-US" w:eastAsia="zh-CN"/>
              </w:rPr>
              <w:t>详情</w:t>
            </w:r>
          </w:p>
        </w:tc>
        <w:tc>
          <w:tcPr>
            <w:tcW w:w="1348" w:type="pct"/>
            <w:vAlign w:val="top"/>
          </w:tcPr>
          <w:p>
            <w:pPr>
              <w:pStyle w:val="18"/>
              <w:bidi w:val="0"/>
              <w:ind w:firstLine="0" w:firstLineChars="0"/>
              <w:rPr>
                <w:rFonts w:ascii="Times New Roman" w:hAnsi="Times New Roman" w:eastAsia="仿宋_GB2312" w:cs="Times New Roman"/>
                <w:bCs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4" w:type="pct"/>
            <w:vAlign w:val="top"/>
          </w:tcPr>
          <w:p>
            <w:pPr>
              <w:pStyle w:val="18"/>
              <w:bidi w:val="0"/>
              <w:ind w:firstLine="0" w:firstLineChars="0"/>
              <w:rPr>
                <w:rFonts w:hint="eastAsia" w:ascii="Times New Roman" w:hAnsi="Times New Roman" w:eastAsia="仿宋_GB2312" w:cs="Times New Roman"/>
                <w:bCs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名称1</w:t>
            </w:r>
          </w:p>
        </w:tc>
        <w:tc>
          <w:tcPr>
            <w:tcW w:w="888" w:type="pct"/>
            <w:vAlign w:val="top"/>
          </w:tcPr>
          <w:p>
            <w:pPr>
              <w:pStyle w:val="18"/>
              <w:bidi w:val="0"/>
              <w:ind w:firstLine="0" w:firstLineChars="0"/>
              <w:rPr>
                <w:rFonts w:ascii="Times New Roman" w:hAnsi="Times New Roman" w:eastAsia="仿宋_GB2312" w:cs="Times New Roman"/>
                <w:bCs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99" w:type="pct"/>
            <w:vAlign w:val="top"/>
          </w:tcPr>
          <w:p>
            <w:pPr>
              <w:pStyle w:val="18"/>
              <w:bidi w:val="0"/>
              <w:ind w:firstLine="0" w:firstLineChars="0"/>
              <w:rPr>
                <w:rFonts w:ascii="Times New Roman" w:hAnsi="Times New Roman" w:eastAsia="仿宋_GB2312" w:cs="Times New Roman"/>
                <w:bCs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348" w:type="pct"/>
            <w:vAlign w:val="top"/>
          </w:tcPr>
          <w:p>
            <w:pPr>
              <w:pStyle w:val="18"/>
              <w:bidi w:val="0"/>
              <w:ind w:firstLine="0" w:firstLineChars="0"/>
              <w:rPr>
                <w:rFonts w:ascii="Times New Roman" w:hAnsi="Times New Roman" w:eastAsia="仿宋_GB2312" w:cs="Times New Roman"/>
                <w:bCs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企业信息</w:t>
            </w:r>
          </w:p>
        </w:tc>
      </w:tr>
    </w:tbl>
    <w:p>
      <w:pPr>
        <w:pStyle w:val="11"/>
        <w:bidi w:val="0"/>
        <w:rPr>
          <w:rFonts w:hint="default"/>
          <w:highlight w:val="green"/>
          <w:lang w:val="en-US" w:eastAsia="zh-CN"/>
        </w:rPr>
      </w:pPr>
      <w:r>
        <w:rPr>
          <w:rFonts w:hint="eastAsia"/>
          <w:highlight w:val="green"/>
          <w:lang w:val="en-US" w:eastAsia="zh-CN"/>
        </w:rPr>
        <w:t>在“河流湖库”列表现有基础上，所属河流断面显示，如白洋淀，再点击下一层，显示白洋淀8点位名称，点击断面名称，地图上定位该断面位置突出显示（用现有效果）；</w:t>
      </w:r>
    </w:p>
    <w:p>
      <w:pPr>
        <w:pStyle w:val="18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2447925" cy="11906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弹窗-溯源分析</w:t>
      </w:r>
    </w:p>
    <w:p>
      <w:pPr>
        <w:pStyle w:val="18"/>
        <w:bidi w:val="0"/>
      </w:pPr>
      <w:r>
        <w:drawing>
          <wp:inline distT="0" distB="0" distL="114300" distR="114300">
            <wp:extent cx="5266690" cy="2578735"/>
            <wp:effectExtent l="0" t="0" r="1016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  <w:rPr>
          <w:rFonts w:hint="default"/>
          <w:highlight w:val="green"/>
          <w:lang w:val="en-US" w:eastAsia="zh-CN"/>
        </w:rPr>
      </w:pPr>
      <w:r>
        <w:rPr>
          <w:rFonts w:hint="eastAsia"/>
          <w:highlight w:val="green"/>
          <w:lang w:val="en-US" w:eastAsia="zh-CN"/>
        </w:rPr>
        <w:t>预警分析上方增加时间维度选择框，包括“上旬、中旬、下旬、月度”；以及年月“监测时间”查询功能；默认显示数据库最新数据时间，有月度的显示月度的，没有月度显示最新的旬；如“下旬   2024-01”；</w:t>
      </w:r>
    </w:p>
    <w:p>
      <w:pPr>
        <w:pStyle w:val="11"/>
        <w:bidi w:val="0"/>
        <w:rPr>
          <w:highlight w:val="green"/>
        </w:rPr>
      </w:pPr>
      <w:r>
        <w:rPr>
          <w:rFonts w:hint="eastAsia"/>
          <w:highlight w:val="green"/>
          <w:lang w:val="en-US" w:eastAsia="zh-CN"/>
        </w:rPr>
        <w:t>列表中的“区县”改为“行政区划”；</w:t>
      </w:r>
    </w:p>
    <w:p>
      <w:pPr>
        <w:pStyle w:val="18"/>
        <w:bidi w:val="0"/>
      </w:pPr>
      <w:r>
        <w:drawing>
          <wp:inline distT="0" distB="0" distL="114300" distR="114300">
            <wp:extent cx="2924810" cy="1939290"/>
            <wp:effectExtent l="0" t="0" r="889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  <w:rPr>
          <w:highlight w:val="green"/>
        </w:rPr>
      </w:pPr>
      <w:bookmarkStart w:id="0" w:name="_GoBack"/>
      <w:r>
        <w:rPr>
          <w:rFonts w:hint="eastAsia"/>
          <w:highlight w:val="green"/>
          <w:lang w:val="en-US" w:eastAsia="zh-CN"/>
        </w:rPr>
        <w:t>预警分析，改为真实的统计信息，包括当前断面的名称、时间、是否超标，超标因子、监测值（超标倍数）、同比监测值（超标倍数）、历史极值、可能受到影响的下游断面；如</w:t>
      </w:r>
    </w:p>
    <w:p>
      <w:pPr>
        <w:bidi w:val="0"/>
        <w:rPr>
          <w:rFonts w:hint="default"/>
          <w:highlight w:val="green"/>
          <w:lang w:val="en-US"/>
        </w:rPr>
      </w:pPr>
      <w:r>
        <w:rPr>
          <w:rFonts w:hint="eastAsia"/>
          <w:highlight w:val="green"/>
          <w:lang w:val="en-US" w:eastAsia="zh-CN"/>
        </w:rPr>
        <w:t>①超标，有下游断面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pStyle w:val="18"/>
              <w:bidi w:val="0"/>
              <w:jc w:val="left"/>
              <w:rPr>
                <w:highlight w:val="green"/>
                <w:vertAlign w:val="baseline"/>
              </w:rPr>
            </w:pPr>
            <w:r>
              <w:rPr>
                <w:rFonts w:hint="eastAsia"/>
                <w:highlight w:val="green"/>
                <w:vertAlign w:val="baseline"/>
              </w:rPr>
              <w:t>兑坎庄1月出现水质超标，氟化物1.2mg/L（超标倍数0.2），同比1.07mg/L（超标倍数0.1），历史极值1.52mg/L。下游留祥佐断面受此影响存在超标可能，需重点关注，做好预防措施。</w:t>
            </w:r>
          </w:p>
        </w:tc>
      </w:tr>
    </w:tbl>
    <w:p>
      <w:pPr>
        <w:bidi w:val="0"/>
        <w:rPr>
          <w:rFonts w:hint="default"/>
          <w:highlight w:val="green"/>
          <w:lang w:val="en-US" w:eastAsia="zh-CN"/>
        </w:rPr>
      </w:pPr>
      <w:r>
        <w:rPr>
          <w:rFonts w:hint="eastAsia"/>
          <w:highlight w:val="green"/>
          <w:lang w:val="en-US" w:eastAsia="zh-CN"/>
        </w:rPr>
        <w:t>②超标，无下游断面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pStyle w:val="18"/>
              <w:bidi w:val="0"/>
              <w:jc w:val="left"/>
              <w:rPr>
                <w:rFonts w:hint="default" w:eastAsia="仿宋_GB2312"/>
                <w:highlight w:val="green"/>
                <w:vertAlign w:val="baseline"/>
                <w:lang w:val="en-US" w:eastAsia="zh-CN"/>
              </w:rPr>
            </w:pPr>
            <w:r>
              <w:rPr>
                <w:rFonts w:hint="eastAsia"/>
                <w:highlight w:val="green"/>
                <w:vertAlign w:val="baseline"/>
              </w:rPr>
              <w:t>兑坎庄1月出现水质超标，氟化物1.2mg/L（超标倍数0.2），同比1.07mg/L（超标倍数0.1），历史极值1.52mg/L。</w:t>
            </w:r>
            <w:r>
              <w:rPr>
                <w:rFonts w:hint="eastAsia"/>
                <w:highlight w:val="green"/>
                <w:vertAlign w:val="baseline"/>
                <w:lang w:val="en-US" w:eastAsia="zh-CN"/>
              </w:rPr>
              <w:t>无下游断面。</w:t>
            </w:r>
          </w:p>
        </w:tc>
      </w:tr>
    </w:tbl>
    <w:p>
      <w:pPr>
        <w:bidi w:val="0"/>
        <w:rPr>
          <w:rFonts w:hint="default"/>
          <w:highlight w:val="green"/>
          <w:lang w:val="en-US" w:eastAsia="zh-CN"/>
        </w:rPr>
      </w:pPr>
      <w:r>
        <w:rPr>
          <w:rFonts w:hint="eastAsia"/>
          <w:highlight w:val="green"/>
          <w:lang w:val="en-US" w:eastAsia="zh-CN"/>
        </w:rPr>
        <w:t>③无超标，不显示“预警分析”；</w:t>
      </w:r>
    </w:p>
    <w:bookmarkEnd w:id="0"/>
    <w:p>
      <w:pPr>
        <w:pStyle w:val="18"/>
        <w:bidi w:val="0"/>
      </w:pPr>
      <w:r>
        <w:drawing>
          <wp:inline distT="0" distB="0" distL="114300" distR="114300">
            <wp:extent cx="5274310" cy="7213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</w:pPr>
      <w:r>
        <w:rPr>
          <w:rFonts w:hint="eastAsia"/>
          <w:lang w:val="en-US" w:eastAsia="zh-CN"/>
        </w:rPr>
        <w:t>下游断面，“预计超标情况”去掉，显示断面的“水质类别”“超标因子”，在没有下游断面情况下不显示此表。断面名称列文字改为蓝色，点击定位地图上的点位位置；</w:t>
      </w:r>
    </w:p>
    <w:p>
      <w:pPr>
        <w:pStyle w:val="18"/>
        <w:bidi w:val="0"/>
      </w:pPr>
      <w:r>
        <w:drawing>
          <wp:inline distT="0" distB="0" distL="114300" distR="114300">
            <wp:extent cx="5266055" cy="770255"/>
            <wp:effectExtent l="0" t="0" r="1079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</w:pPr>
      <w:r>
        <w:rPr>
          <w:rFonts w:hint="eastAsia"/>
        </w:rPr>
        <w:t>溯源分析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包括3部分内容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pStyle w:val="12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一</w:t>
            </w:r>
            <w:r>
              <w:rPr>
                <w:rFonts w:hint="eastAsia"/>
                <w:lang w:eastAsia="zh-CN"/>
              </w:rPr>
              <w:t>）</w:t>
            </w:r>
            <w:r>
              <w:rPr>
                <w:rFonts w:hint="eastAsia"/>
                <w:lang w:val="en-US" w:eastAsia="zh-CN"/>
              </w:rPr>
              <w:t>显示上游断面的河流名称、断面名称，当前月是否超标，如超标则显示超标因子、监测值、超标倍数。多个的后面依次累加；</w:t>
            </w:r>
          </w:p>
          <w:p>
            <w:pPr>
              <w:pStyle w:val="11"/>
              <w:numPr>
                <w:ilvl w:val="0"/>
                <w:numId w:val="0"/>
              </w:numPr>
              <w:bidi w:val="0"/>
              <w:rPr>
                <w:rFonts w:hint="eastAsia" w:eastAsia="微软雅黑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如：</w:t>
            </w: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D9EBFF"/>
                <w:spacing w:val="0"/>
                <w:sz w:val="21"/>
                <w:szCs w:val="21"/>
                <w:shd w:val="clear" w:fill="0E2F5A"/>
              </w:rPr>
              <w:t>（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D9EBFF"/>
                <w:spacing w:val="0"/>
                <w:sz w:val="21"/>
                <w:szCs w:val="21"/>
                <w:shd w:val="clear" w:fill="0E2F5A"/>
                <w:lang w:val="en-US" w:eastAsia="zh-CN"/>
              </w:rPr>
              <w:t>一</w:t>
            </w: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D9EBFF"/>
                <w:spacing w:val="0"/>
                <w:sz w:val="21"/>
                <w:szCs w:val="21"/>
                <w:shd w:val="clear" w:fill="0E2F5A"/>
              </w:rPr>
              <w:t>）上游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D9EBFF"/>
                <w:spacing w:val="0"/>
                <w:sz w:val="21"/>
                <w:szCs w:val="21"/>
                <w:shd w:val="clear" w:fill="0E2F5A"/>
                <w:lang w:val="en-US" w:eastAsia="zh-CN"/>
              </w:rPr>
              <w:t>沙河罐渠</w:t>
            </w: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D9EBFF"/>
                <w:spacing w:val="0"/>
                <w:sz w:val="21"/>
                <w:szCs w:val="21"/>
                <w:shd w:val="clear" w:fill="0E2F5A"/>
              </w:rPr>
              <w:t>路景断面1月水质超标，氟化物1.26mg/L（超标0.26倍）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D9EBFF"/>
                <w:spacing w:val="0"/>
                <w:sz w:val="21"/>
                <w:szCs w:val="21"/>
                <w:shd w:val="clear" w:fill="0E2F5A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pStyle w:val="12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二</w:t>
            </w:r>
            <w:r>
              <w:rPr>
                <w:rFonts w:hint="eastAsia"/>
                <w:lang w:eastAsia="zh-CN"/>
              </w:rPr>
              <w:t>）</w:t>
            </w:r>
            <w:r>
              <w:rPr>
                <w:rFonts w:hint="eastAsia"/>
                <w:lang w:val="en-US" w:eastAsia="zh-CN"/>
              </w:rPr>
              <w:t>显示该断面上游入河排口数量、污水处理设施数量、涉水工业企业数量、规模化畜禽养殖场数量、水产养殖场数量，以及企业在线监测超标数量（污水厂、工业企业）；</w:t>
            </w:r>
          </w:p>
          <w:p>
            <w:pPr>
              <w:pStyle w:val="11"/>
              <w:numPr>
                <w:ilvl w:val="0"/>
                <w:numId w:val="0"/>
              </w:numPr>
              <w:bidi w:val="0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D9EBFF"/>
                <w:spacing w:val="0"/>
                <w:sz w:val="21"/>
                <w:szCs w:val="21"/>
                <w:shd w:val="clear" w:fill="0E2F5A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如：</w:t>
            </w: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D9EBFF"/>
                <w:spacing w:val="0"/>
                <w:sz w:val="21"/>
                <w:szCs w:val="21"/>
                <w:shd w:val="clear" w:fill="0E2F5A"/>
              </w:rPr>
              <w:t>（二）上游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D9EBFF"/>
                <w:spacing w:val="0"/>
                <w:sz w:val="21"/>
                <w:szCs w:val="21"/>
                <w:shd w:val="clear" w:fill="0E2F5A"/>
                <w:lang w:val="en-US" w:eastAsia="zh-CN"/>
              </w:rPr>
              <w:t>入河</w:t>
            </w: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D9EBFF"/>
                <w:spacing w:val="0"/>
                <w:sz w:val="21"/>
                <w:szCs w:val="21"/>
                <w:shd w:val="clear" w:fill="0E2F5A"/>
              </w:rPr>
              <w:t>排口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D9EBFF"/>
                <w:spacing w:val="0"/>
                <w:sz w:val="21"/>
                <w:szCs w:val="21"/>
                <w:shd w:val="clear" w:fill="0E2F5A"/>
                <w:lang w:val="en-US" w:eastAsia="zh-CN"/>
              </w:rPr>
              <w:t>23个（当月未超标）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D9EBFF"/>
                <w:spacing w:val="0"/>
                <w:sz w:val="21"/>
                <w:szCs w:val="21"/>
                <w:shd w:val="clear" w:fill="0E2F5A"/>
                <w:lang w:eastAsia="zh-CN"/>
              </w:rPr>
              <w:t>，</w:t>
            </w: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D9EBFF"/>
                <w:spacing w:val="0"/>
                <w:sz w:val="21"/>
                <w:szCs w:val="21"/>
                <w:shd w:val="clear" w:fill="0E2F5A"/>
              </w:rPr>
              <w:t>污水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D9EBFF"/>
                <w:spacing w:val="0"/>
                <w:sz w:val="21"/>
                <w:szCs w:val="21"/>
                <w:shd w:val="clear" w:fill="0E2F5A"/>
                <w:lang w:val="en-US" w:eastAsia="zh-CN"/>
              </w:rPr>
              <w:t>处理设施32家（当月3家超标）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D9EBFF"/>
                <w:spacing w:val="0"/>
                <w:sz w:val="21"/>
                <w:szCs w:val="21"/>
                <w:shd w:val="clear" w:fill="0E2F5A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D9EBFF"/>
                <w:spacing w:val="0"/>
                <w:sz w:val="21"/>
                <w:szCs w:val="21"/>
                <w:shd w:val="clear" w:fill="0E2F5A"/>
                <w:lang w:val="en-US" w:eastAsia="zh-CN"/>
              </w:rPr>
              <w:t>涉水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D9EBFF"/>
                <w:spacing w:val="0"/>
                <w:sz w:val="21"/>
                <w:szCs w:val="21"/>
                <w:shd w:val="clear" w:fill="0E2F5A"/>
              </w:rPr>
              <w:t>工业企业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D9EBFF"/>
                <w:spacing w:val="0"/>
                <w:sz w:val="21"/>
                <w:szCs w:val="21"/>
                <w:shd w:val="clear" w:fill="0E2F5A"/>
                <w:lang w:val="en-US" w:eastAsia="zh-CN"/>
              </w:rPr>
              <w:t>42家（当月2家超标）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D9EBFF"/>
                <w:spacing w:val="0"/>
                <w:sz w:val="21"/>
                <w:szCs w:val="21"/>
                <w:shd w:val="clear" w:fill="0E2F5A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D9EBFF"/>
                <w:spacing w:val="0"/>
                <w:sz w:val="21"/>
                <w:szCs w:val="21"/>
                <w:shd w:val="clear" w:fill="0E2F5A"/>
              </w:rPr>
              <w:t>规模化畜禽养殖场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D9EBFF"/>
                <w:spacing w:val="0"/>
                <w:sz w:val="21"/>
                <w:szCs w:val="21"/>
                <w:shd w:val="clear" w:fill="0E2F5A"/>
                <w:lang w:val="en-US" w:eastAsia="zh-CN"/>
              </w:rPr>
              <w:t>13家，水产养殖场0家。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pStyle w:val="12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三</w:t>
            </w:r>
            <w:r>
              <w:rPr>
                <w:rFonts w:hint="eastAsia"/>
                <w:lang w:eastAsia="zh-CN"/>
              </w:rPr>
              <w:t>）</w:t>
            </w:r>
            <w:r>
              <w:rPr>
                <w:rFonts w:hint="eastAsia"/>
                <w:lang w:val="en-US" w:eastAsia="zh-CN"/>
              </w:rPr>
              <w:t>显示该断面“水质风险源”中“</w:t>
            </w:r>
            <w:r>
              <w:t>影响水质指标的污染源及影响原因</w:t>
            </w:r>
            <w:r>
              <w:rPr>
                <w:rFonts w:hint="eastAsia"/>
                <w:lang w:val="en-US" w:eastAsia="zh-CN"/>
              </w:rPr>
              <w:t>”的信息；</w:t>
            </w:r>
          </w:p>
        </w:tc>
      </w:tr>
    </w:tbl>
    <w:p>
      <w:pPr>
        <w:pStyle w:val="18"/>
        <w:bidi w:val="0"/>
      </w:pPr>
      <w:r>
        <w:drawing>
          <wp:inline distT="0" distB="0" distL="114300" distR="114300">
            <wp:extent cx="5274310" cy="1684655"/>
            <wp:effectExtent l="0" t="0" r="254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</w:pPr>
      <w:r>
        <w:rPr>
          <w:rFonts w:hint="eastAsia"/>
          <w:lang w:val="en-US" w:eastAsia="zh-CN"/>
        </w:rPr>
        <w:t>上游断面，在没有上游断面情况下不显示此表。“超标情况”去掉，显示“水质类别、超标因子”，“断面名称”列文字改为蓝色，点击定位地图上的点位位置；</w:t>
      </w:r>
    </w:p>
    <w:p>
      <w:pPr>
        <w:pStyle w:val="18"/>
        <w:bidi w:val="0"/>
      </w:pPr>
      <w:r>
        <w:drawing>
          <wp:inline distT="0" distB="0" distL="114300" distR="114300">
            <wp:extent cx="5271135" cy="847090"/>
            <wp:effectExtent l="0" t="0" r="5715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上游入河排污口，在没有上游入河排污口情况下不显示此表。“排污口名称”列文字改为蓝色，点击定位地图上的排污口点位位置。（无数据情况下不显示此表）</w:t>
      </w:r>
    </w:p>
    <w:p>
      <w:pPr>
        <w:pStyle w:val="18"/>
        <w:bidi w:val="0"/>
      </w:pPr>
      <w:r>
        <w:drawing>
          <wp:inline distT="0" distB="0" distL="114300" distR="114300">
            <wp:extent cx="5267325" cy="1755775"/>
            <wp:effectExtent l="0" t="0" r="9525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</w:pPr>
      <w:r>
        <w:rPr>
          <w:rFonts w:hint="eastAsia"/>
          <w:lang w:val="en-US" w:eastAsia="zh-CN"/>
        </w:rPr>
        <w:t>上游污水处理厂，名称改为“上游污水处理设施”，“单位名称”列文字改为蓝色，点击定位地图上的污水处理设施点位位置。（无数据情况下不显示此表）</w:t>
      </w:r>
    </w:p>
    <w:p>
      <w:pPr>
        <w:pStyle w:val="18"/>
        <w:bidi w:val="0"/>
      </w:pPr>
      <w:r>
        <w:drawing>
          <wp:inline distT="0" distB="0" distL="114300" distR="114300">
            <wp:extent cx="5267325" cy="1938020"/>
            <wp:effectExtent l="0" t="0" r="9525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</w:pPr>
      <w:r>
        <w:rPr>
          <w:rFonts w:hint="eastAsia"/>
          <w:lang w:val="en-US" w:eastAsia="zh-CN"/>
        </w:rPr>
        <w:t>上游工业企业，改为“上游涉水工业企业”，“单位名称”列文字改为蓝色，点击定位地图上的污水处理设施点位位置。（无数据情况下不显示此表）</w:t>
      </w:r>
    </w:p>
    <w:p>
      <w:pPr>
        <w:pStyle w:val="18"/>
        <w:bidi w:val="0"/>
      </w:pPr>
      <w:r>
        <w:drawing>
          <wp:inline distT="0" distB="0" distL="114300" distR="114300">
            <wp:extent cx="5272405" cy="1277620"/>
            <wp:effectExtent l="0" t="0" r="4445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</w:pPr>
      <w:r>
        <w:t>上游规模化畜禽养殖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改为“</w:t>
      </w:r>
      <w:r>
        <w:t>上游规模化畜禽养殖</w:t>
      </w:r>
      <w:r>
        <w:rPr>
          <w:rFonts w:hint="eastAsia"/>
          <w:lang w:val="en-US" w:eastAsia="zh-CN"/>
        </w:rPr>
        <w:t>场”，“单位名称”列文字改为蓝色，点击定位地图上的污水处理设施点位位置。（无数据情况下不显示此表）</w:t>
      </w:r>
    </w:p>
    <w:p>
      <w:pPr>
        <w:pStyle w:val="18"/>
        <w:bidi w:val="0"/>
      </w:pPr>
      <w:r>
        <w:drawing>
          <wp:inline distT="0" distB="0" distL="114300" distR="114300">
            <wp:extent cx="5268595" cy="1216025"/>
            <wp:effectExtent l="0" t="0" r="8255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</w:pPr>
      <w:r>
        <w:rPr>
          <w:rFonts w:hint="eastAsia"/>
        </w:rPr>
        <w:t>上游规模化水产养殖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名称改为“</w:t>
      </w:r>
      <w:r>
        <w:rPr>
          <w:rFonts w:hint="eastAsia"/>
        </w:rPr>
        <w:t>上游水产养殖</w:t>
      </w:r>
      <w:r>
        <w:rPr>
          <w:rFonts w:hint="eastAsia"/>
          <w:lang w:val="en-US" w:eastAsia="zh-CN"/>
        </w:rPr>
        <w:t>场”“单位名称”列文字改为蓝色，点击定位地图上的污水处理设施点位位置。（无数据情况下不显示此表）</w:t>
      </w:r>
    </w:p>
    <w:p>
      <w:pPr>
        <w:pStyle w:val="18"/>
        <w:bidi w:val="0"/>
      </w:pPr>
      <w:r>
        <w:drawing>
          <wp:inline distT="0" distB="0" distL="114300" distR="114300">
            <wp:extent cx="5268595" cy="823595"/>
            <wp:effectExtent l="0" t="0" r="8255" b="146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789605"/>
    <w:multiLevelType w:val="multilevel"/>
    <w:tmpl w:val="AB789605"/>
    <w:lvl w:ilvl="0" w:tentative="0">
      <w:start w:val="1"/>
      <w:numFmt w:val="decimal"/>
      <w:pStyle w:val="17"/>
      <w:suff w:val="space"/>
      <w:lvlText w:val="表%1 "/>
      <w:lvlJc w:val="center"/>
      <w:pPr>
        <w:ind w:left="0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C4FF344B"/>
    <w:multiLevelType w:val="multilevel"/>
    <w:tmpl w:val="C4FF344B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2">
    <w:nsid w:val="1F14E60B"/>
    <w:multiLevelType w:val="multilevel"/>
    <w:tmpl w:val="1F14E60B"/>
    <w:lvl w:ilvl="0" w:tentative="0">
      <w:start w:val="1"/>
      <w:numFmt w:val="decimal"/>
      <w:pStyle w:val="19"/>
      <w:suff w:val="space"/>
      <w:lvlText w:val="图%1 "/>
      <w:lvlJc w:val="center"/>
      <w:pPr>
        <w:ind w:left="4112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D2F17A7"/>
    <w:multiLevelType w:val="singleLevel"/>
    <w:tmpl w:val="4D2F17A7"/>
    <w:lvl w:ilvl="0" w:tentative="0">
      <w:start w:val="1"/>
      <w:numFmt w:val="decimal"/>
      <w:pStyle w:val="11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kNmFiNTY2MDYxNThiMjM5YmI0M2IzNzJjOGJmZjIifQ=="/>
  </w:docVars>
  <w:rsids>
    <w:rsidRoot w:val="56D42E67"/>
    <w:rsid w:val="00EF1351"/>
    <w:rsid w:val="01B54127"/>
    <w:rsid w:val="03207A9B"/>
    <w:rsid w:val="05400A0F"/>
    <w:rsid w:val="0F3D334A"/>
    <w:rsid w:val="153220D4"/>
    <w:rsid w:val="1571436E"/>
    <w:rsid w:val="15F32D77"/>
    <w:rsid w:val="17C63C83"/>
    <w:rsid w:val="185E4787"/>
    <w:rsid w:val="19501756"/>
    <w:rsid w:val="19E021AE"/>
    <w:rsid w:val="1B8B4AFE"/>
    <w:rsid w:val="1BA1310E"/>
    <w:rsid w:val="200B3309"/>
    <w:rsid w:val="2010022D"/>
    <w:rsid w:val="22C20B70"/>
    <w:rsid w:val="271C1848"/>
    <w:rsid w:val="2830587D"/>
    <w:rsid w:val="2E1B62A8"/>
    <w:rsid w:val="2EC04FA7"/>
    <w:rsid w:val="3540003F"/>
    <w:rsid w:val="38B13F8D"/>
    <w:rsid w:val="3C686080"/>
    <w:rsid w:val="43D109E8"/>
    <w:rsid w:val="47763A0B"/>
    <w:rsid w:val="4E152F6F"/>
    <w:rsid w:val="52324668"/>
    <w:rsid w:val="54897167"/>
    <w:rsid w:val="56D42E67"/>
    <w:rsid w:val="58F07115"/>
    <w:rsid w:val="5AC13672"/>
    <w:rsid w:val="5D591684"/>
    <w:rsid w:val="60661CB4"/>
    <w:rsid w:val="6B445CF6"/>
    <w:rsid w:val="6C40706B"/>
    <w:rsid w:val="6FA8783E"/>
    <w:rsid w:val="6FC32E89"/>
    <w:rsid w:val="707A41EE"/>
    <w:rsid w:val="740B1954"/>
    <w:rsid w:val="7E9D3653"/>
    <w:rsid w:val="7EE96FB0"/>
    <w:rsid w:val="7F5F6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qFormat="1"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600" w:lineRule="exact"/>
      <w:ind w:firstLine="880" w:firstLineChars="200"/>
      <w:jc w:val="both"/>
    </w:pPr>
    <w:rPr>
      <w:rFonts w:ascii="Calibri" w:hAnsi="Calibri" w:eastAsia="仿宋_GB2312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snapToGrid w:val="0"/>
      <w:spacing w:before="480" w:beforeLines="0" w:beforeAutospacing="0" w:after="360" w:afterLines="0" w:afterAutospacing="0" w:line="240" w:lineRule="auto"/>
      <w:ind w:firstLineChars="0"/>
      <w:outlineLvl w:val="0"/>
    </w:pPr>
    <w:rPr>
      <w:rFonts w:ascii="黑体" w:hAnsi="黑体" w:eastAsia="黑体"/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Lines="0" w:beforeAutospacing="0" w:afterLines="0" w:afterAutospacing="0" w:line="660" w:lineRule="exact"/>
      <w:ind w:firstLineChars="0"/>
      <w:outlineLvl w:val="1"/>
    </w:pPr>
    <w:rPr>
      <w:rFonts w:ascii="宋体" w:hAnsi="宋体" w:eastAsia="楷体_GB2312"/>
      <w:b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40" w:beforeLines="0" w:beforeAutospacing="0" w:after="120" w:afterLines="0" w:afterAutospacing="0" w:line="240" w:lineRule="auto"/>
      <w:ind w:firstLine="400" w:firstLineChars="0"/>
      <w:outlineLvl w:val="2"/>
    </w:pPr>
    <w:rPr>
      <w:rFonts w:ascii="宋体" w:hAnsi="宋体" w:eastAsia="宋体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40" w:beforeLines="0" w:beforeAutospacing="0" w:after="120" w:afterLines="0" w:afterAutospacing="0" w:line="240" w:lineRule="auto"/>
      <w:ind w:firstLine="402" w:firstLineChars="0"/>
      <w:outlineLvl w:val="3"/>
    </w:pPr>
    <w:rPr>
      <w:rFonts w:ascii="宋体" w:hAnsi="宋体" w:eastAsia="宋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40" w:beforeLines="0" w:beforeAutospacing="0" w:after="120" w:afterLines="0" w:afterAutospacing="0" w:line="240" w:lineRule="auto"/>
      <w:ind w:firstLine="402" w:firstLineChars="0"/>
      <w:outlineLvl w:val="4"/>
    </w:pPr>
    <w:rPr>
      <w:rFonts w:ascii="宋体" w:hAnsi="宋体" w:eastAsia="宋体"/>
      <w:b/>
    </w:rPr>
  </w:style>
  <w:style w:type="paragraph" w:styleId="7">
    <w:name w:val="heading 6"/>
    <w:basedOn w:val="1"/>
    <w:next w:val="1"/>
    <w:autoRedefine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5"/>
    </w:pPr>
    <w:rPr>
      <w:rFonts w:ascii="宋体" w:hAnsi="宋体" w:eastAsia="宋体"/>
      <w:b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8"/>
    </w:pPr>
    <w:rPr>
      <w:rFonts w:ascii="Arial" w:hAnsi="Arial" w:eastAsia="黑体"/>
      <w:sz w:val="21"/>
    </w:rPr>
  </w:style>
  <w:style w:type="character" w:default="1" w:styleId="16">
    <w:name w:val="Default Paragraph Font"/>
    <w:autoRedefine/>
    <w:semiHidden/>
    <w:qFormat/>
    <w:uiPriority w:val="0"/>
  </w:style>
  <w:style w:type="table" w:default="1" w:styleId="1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2"/>
    <w:basedOn w:val="1"/>
    <w:autoRedefine/>
    <w:qFormat/>
    <w:uiPriority w:val="0"/>
    <w:pPr>
      <w:numPr>
        <w:ilvl w:val="0"/>
        <w:numId w:val="2"/>
      </w:numPr>
      <w:snapToGrid/>
      <w:ind w:left="0" w:leftChars="0" w:firstLine="723" w:firstLineChars="200"/>
    </w:pPr>
    <w:rPr>
      <w:rFonts w:asciiTheme="minorAscii" w:hAnsiTheme="minorAscii"/>
    </w:rPr>
  </w:style>
  <w:style w:type="paragraph" w:styleId="12">
    <w:name w:val="List"/>
    <w:basedOn w:val="1"/>
    <w:qFormat/>
    <w:uiPriority w:val="0"/>
    <w:pPr>
      <w:spacing w:line="240" w:lineRule="auto"/>
      <w:ind w:left="0" w:firstLine="0" w:firstLineChars="0"/>
    </w:pPr>
    <w:rPr>
      <w:rFonts w:asciiTheme="minorAscii" w:hAnsiTheme="minorAscii"/>
    </w:rPr>
  </w:style>
  <w:style w:type="paragraph" w:styleId="13">
    <w:name w:val="Title"/>
    <w:basedOn w:val="1"/>
    <w:next w:val="1"/>
    <w:autoRedefine/>
    <w:qFormat/>
    <w:uiPriority w:val="0"/>
    <w:pPr>
      <w:snapToGrid w:val="0"/>
      <w:spacing w:beforeLines="0" w:beforeAutospacing="0" w:afterLines="0" w:afterAutospacing="0" w:line="660" w:lineRule="exact"/>
      <w:ind w:firstLine="0" w:firstLineChars="0"/>
      <w:jc w:val="center"/>
      <w:outlineLvl w:val="0"/>
    </w:pPr>
    <w:rPr>
      <w:rFonts w:ascii="方正小标宋简体" w:hAnsi="方正小标宋简体" w:eastAsia="方正小标宋简体" w:cs="Times New Roman"/>
      <w:sz w:val="44"/>
    </w:rPr>
  </w:style>
  <w:style w:type="table" w:styleId="15">
    <w:name w:val="Table Grid"/>
    <w:basedOn w:val="1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7">
    <w:name w:val="表题"/>
    <w:basedOn w:val="1"/>
    <w:qFormat/>
    <w:uiPriority w:val="0"/>
    <w:pPr>
      <w:keepNext/>
      <w:numPr>
        <w:ilvl w:val="0"/>
        <w:numId w:val="3"/>
      </w:numPr>
      <w:ind w:firstLineChars="0"/>
      <w:jc w:val="center"/>
    </w:pPr>
    <w:rPr>
      <w:rFonts w:ascii="Times New Roman" w:hAnsi="Times New Roman" w:eastAsia="黑体"/>
    </w:rPr>
  </w:style>
  <w:style w:type="paragraph" w:customStyle="1" w:styleId="18">
    <w:name w:val="表格正文"/>
    <w:basedOn w:val="1"/>
    <w:qFormat/>
    <w:uiPriority w:val="0"/>
    <w:pPr>
      <w:widowControl w:val="0"/>
      <w:tabs>
        <w:tab w:val="left" w:pos="472"/>
      </w:tabs>
      <w:spacing w:before="0" w:beforeLines="0" w:line="240" w:lineRule="auto"/>
      <w:ind w:firstLine="0" w:firstLineChars="0"/>
      <w:jc w:val="center"/>
    </w:pPr>
    <w:rPr>
      <w:rFonts w:ascii="Times New Roman" w:hAnsi="Times New Roman" w:cs="Times New Roman"/>
      <w:bCs/>
      <w:sz w:val="24"/>
      <w:szCs w:val="21"/>
    </w:rPr>
  </w:style>
  <w:style w:type="paragraph" w:customStyle="1" w:styleId="19">
    <w:name w:val="图题"/>
    <w:basedOn w:val="1"/>
    <w:autoRedefine/>
    <w:qFormat/>
    <w:uiPriority w:val="0"/>
    <w:pPr>
      <w:widowControl w:val="0"/>
      <w:numPr>
        <w:ilvl w:val="0"/>
        <w:numId w:val="4"/>
      </w:numPr>
      <w:ind w:left="0" w:firstLineChars="0"/>
      <w:jc w:val="center"/>
    </w:pPr>
    <w:rPr>
      <w:rFonts w:ascii="Times New Roman" w:hAnsi="Times New Roman" w:eastAsia="黑体"/>
      <w:szCs w:val="18"/>
    </w:rPr>
  </w:style>
  <w:style w:type="paragraph" w:customStyle="1" w:styleId="20">
    <w:name w:val="小标题"/>
    <w:basedOn w:val="1"/>
    <w:autoRedefine/>
    <w:qFormat/>
    <w:uiPriority w:val="0"/>
    <w:pPr>
      <w:spacing w:before="480" w:beforeLines="0" w:after="360" w:afterLines="0" w:line="240" w:lineRule="auto"/>
      <w:ind w:firstLine="0" w:firstLineChars="0"/>
      <w:jc w:val="center"/>
      <w:outlineLvl w:val="0"/>
    </w:pPr>
    <w:rPr>
      <w:rFonts w:hint="eastAsia" w:ascii="方正小标宋简体" w:hAnsi="方正小标宋简体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54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2024-02-23T11:04:00Z</dcterms:created>
  <dc:creator>郭宇飞</dc:creator>
  <cp:lastModifiedBy>郭宇飞</cp:lastModifiedBy>
  <dcterms:modified xsi:type="dcterms:W3CDTF">2024-03-06T09:45:00Z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01BEDC6CC4104A038AD11510257122E5_11</vt:lpwstr>
  </property>
</Properties>
</file>