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</w:pPr>
      <w:r>
        <w:rPr>
          <w:rFonts w:hint="eastAsia"/>
          <w:lang w:val="en-US" w:eastAsia="zh-CN"/>
        </w:rPr>
        <w:t>首页如下修改：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河北省综合指数排名排名新增一列168排名，显示该地市在168城市中排名，加在城市与综合指数中间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168城市倒20排名修改为168城市排名，显示168所有城市的综合指数情况，表头包括排名、城市、综合指数、同比变化率（河北省内城市需要加粗显示）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新增2+36城市排名，显示2+36城市综合指数情况，表头包括排名、城市、综合指数、同比变化率（河北省内城市需要加粗显示）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2263140" cy="48583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485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2+36城市名单如下：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雄安新区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辛集市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鹤壁市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天津市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石家庄市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邢台市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邯郸市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德州市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聊城市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枣庄市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廊坊市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菏泽市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濮阳市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衡水市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平顶山市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漯河市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三门峡市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秦皇岛市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日照市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济源市</w:t>
            </w:r>
          </w:p>
        </w:tc>
      </w:tr>
    </w:tbl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数据分析中168城市年排名改为标签页，并且新增一个标签页2+36城市年排名，标签页列表显示内容的表头和168城市年排名相同，但只显示2+36相关的城市。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169285" cy="6608445"/>
            <wp:effectExtent l="0" t="0" r="1206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660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84FC5"/>
    <w:multiLevelType w:val="singleLevel"/>
    <w:tmpl w:val="F0684FC5"/>
    <w:lvl w:ilvl="0" w:tentative="0">
      <w:start w:val="1"/>
      <w:numFmt w:val="decimal"/>
      <w:suff w:val="nothing"/>
      <w:lvlText w:val="%1）"/>
      <w:lvlJc w:val="left"/>
      <w:pPr>
        <w:ind w:left="210" w:leftChars="0" w:firstLine="0" w:firstLineChars="0"/>
      </w:pPr>
    </w:lvl>
  </w:abstractNum>
  <w:abstractNum w:abstractNumId="1">
    <w:nsid w:val="7E447DF5"/>
    <w:multiLevelType w:val="singleLevel"/>
    <w:tmpl w:val="7E447D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zU0OTM5MGZmM2I4OWMwZjBkYjg3M2JmYjJiOTUifQ=="/>
  </w:docVars>
  <w:rsids>
    <w:rsidRoot w:val="00000000"/>
    <w:rsid w:val="1FEB353E"/>
    <w:rsid w:val="3A0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2023-12-20T02:18:55Z</dcterms:created>
  <dc:creator>HD.7</dc:creator>
  <cp:lastModifiedBy>HD</cp:lastModifiedBy>
  <dcterms:modified xsi:type="dcterms:W3CDTF">2023-12-20T02:38:45Z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2C1CBA0D1FC8479897D28B13DFEDA9AC_12</vt:lpwstr>
  </property>
</Properties>
</file>