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</w:pPr>
      <w:r>
        <w:rPr>
          <w:rFonts w:hint="eastAsia"/>
          <w:lang w:val="en-US" w:eastAsia="zh-CN"/>
        </w:rPr>
        <w:t>省级生态环境保护督察整改任务</w:t>
      </w:r>
    </w:p>
    <w:p>
      <w:pPr>
        <w:spacing w:before="0" w:after="0" w:line="240" w:lineRule="auto"/>
        <w:ind w:left="0" w:leftChars="0" w:firstLine="0" w:firstLineChars="0"/>
        <w:rPr>
          <w:rFonts w:hint="default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>1.1督察管理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（1）省级生态环境保护督察—督察管理—添加整改措施页面，设置牵头单位完成后，任务流程发生变化，</w:t>
      </w:r>
      <w:bookmarkStart w:id="0" w:name="_GoBack"/>
      <w:bookmarkEnd w:id="0"/>
      <w:r>
        <w:rPr>
          <w:rFonts w:hint="eastAsia"/>
          <w:lang w:val="en-US" w:eastAsia="zh-CN"/>
        </w:rPr>
        <w:t>按目前的系统已经转办的任务无法进行流转。将责任单位还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未填报整改或整改进展的完成情况是达到序时或未达到序（未完成）的</w:t>
      </w:r>
      <w:r>
        <w:rPr>
          <w:rFonts w:hint="eastAsia"/>
          <w:lang w:val="en-US" w:eastAsia="zh-CN"/>
        </w:rPr>
        <w:t>任务，在后台设置牵头单位。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2453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36916DE1"/>
    <w:rsid w:val="02D54924"/>
    <w:rsid w:val="060A2B37"/>
    <w:rsid w:val="06233BF8"/>
    <w:rsid w:val="067B57E2"/>
    <w:rsid w:val="133E2072"/>
    <w:rsid w:val="15EA028F"/>
    <w:rsid w:val="36916DE1"/>
    <w:rsid w:val="3DD6033E"/>
    <w:rsid w:val="45062140"/>
    <w:rsid w:val="4A3E412A"/>
    <w:rsid w:val="53AC0356"/>
    <w:rsid w:val="55630EE8"/>
    <w:rsid w:val="56B23844"/>
    <w:rsid w:val="58A61818"/>
    <w:rsid w:val="626B762E"/>
    <w:rsid w:val="67780823"/>
    <w:rsid w:val="6BC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2023-10-10T09:02:00Z</dcterms:created>
  <dc:creator>Auroral .</dc:creator>
  <cp:lastModifiedBy>Auroral .</cp:lastModifiedBy>
  <dcterms:modified xsi:type="dcterms:W3CDTF">2023-10-11T01:50:37Z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78FD912893C44926B6ECCC6C6441FE84_11</vt:lpwstr>
  </property>
</Properties>
</file>