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系统登陆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用户登陆过期后页面上会有一个错误提示，应去掉；或改为中文显示；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地表水断面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弹窗-生态补偿金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时间检索后面增加图标，光标移动上去显示文字说明信息；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“化学需氧量</w:t>
            </w:r>
            <w:r>
              <w:rPr>
                <w:lang w:val="en-US" w:eastAsia="zh-CN"/>
              </w:rPr>
              <w:t>、氨氮、总磷、高锰酸盐指</w:t>
            </w:r>
            <w:r>
              <w:rPr>
                <w:rFonts w:hint="eastAsia"/>
                <w:lang w:val="en-US" w:eastAsia="zh-CN"/>
              </w:rPr>
              <w:t>数”4个因子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的扣缴基准值按断面水质目标取值；“总氮”因不参与水质目标考核，使用的扣缴基准值为单独设定；</w:t>
            </w:r>
          </w:p>
        </w:tc>
      </w:tr>
    </w:tbl>
    <w:p>
      <w:pPr>
        <w:pStyle w:val="18"/>
        <w:bidi w:val="0"/>
      </w:pPr>
      <w:r>
        <w:drawing>
          <wp:inline distT="0" distB="0" distL="114300" distR="114300">
            <wp:extent cx="5268595" cy="350710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饮用水</w:t>
      </w:r>
    </w:p>
    <w:p>
      <w:pPr>
        <w:pStyle w:val="4"/>
        <w:bidi w:val="0"/>
      </w:pPr>
      <w:r>
        <w:rPr>
          <w:rFonts w:hint="eastAsia"/>
          <w:lang w:val="en-US" w:eastAsia="zh-CN"/>
        </w:rPr>
        <w:t>地图-勾选项</w:t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河北省集中式饮用水源地（40个）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改为“河北省水源保护区”</w:t>
      </w:r>
    </w:p>
    <w:p>
      <w:pPr>
        <w:pStyle w:val="18"/>
        <w:bidi w:val="0"/>
      </w:pPr>
      <w:r>
        <w:drawing>
          <wp:inline distT="0" distB="0" distL="114300" distR="114300">
            <wp:extent cx="2600325" cy="1838325"/>
            <wp:effectExtent l="0" t="0" r="9525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  <w:lang w:val="en-US" w:eastAsia="zh-CN"/>
        </w:rPr>
        <w:t>地图-气泡</w:t>
      </w:r>
    </w:p>
    <w:p>
      <w:pPr>
        <w:pStyle w:val="11"/>
        <w:bidi w:val="0"/>
      </w:pP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水源地名称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改为“水源保护区”，对应“水源保护区名称”显示；</w:t>
      </w:r>
    </w:p>
    <w:p>
      <w:pPr>
        <w:pStyle w:val="18"/>
        <w:bidi w:val="0"/>
      </w:pPr>
      <w:r>
        <w:drawing>
          <wp:inline distT="0" distB="0" distL="114300" distR="114300">
            <wp:extent cx="3857625" cy="21240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分析评价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评价报告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白洋淀流域考核断面水质及生态补偿金扣缴情况的通报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生成规则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在“导出报告”前增加“生成规则”按钮，点开查看生成规则；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</w:rPr>
        <w:t>全省主要河流跨界断面水质及生态补偿金扣缴情况的通报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生成规则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在“导出报告”前增加“生成规则”按钮，点开查看生成规则；</w:t>
      </w:r>
    </w:p>
    <w:p>
      <w:pPr>
        <w:pStyle w:val="11"/>
        <w:numPr>
          <w:ilvl w:val="0"/>
          <w:numId w:val="0"/>
        </w:numPr>
        <w:bidi w:val="0"/>
        <w:ind w:left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具体规则如下：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生态补偿金扣缴考核</w:t>
            </w:r>
            <w:r>
              <w:rPr>
                <w:lang w:val="en-US" w:eastAsia="zh-CN"/>
              </w:rPr>
              <w:t>因子</w:t>
            </w:r>
            <w:r>
              <w:rPr>
                <w:rFonts w:hint="eastAsia"/>
                <w:lang w:val="en-US" w:eastAsia="zh-CN"/>
              </w:rPr>
              <w:t>：化学需氧量</w:t>
            </w:r>
            <w:r>
              <w:rPr>
                <w:lang w:val="en-US" w:eastAsia="zh-CN"/>
              </w:rPr>
              <w:t>、氨氮、总磷、总氮、高锰酸盐指</w:t>
            </w:r>
            <w:r>
              <w:rPr>
                <w:rFonts w:hint="eastAsia"/>
                <w:lang w:val="en-US" w:eastAsia="zh-CN"/>
              </w:rPr>
              <w:t>数，共计5项监测因子，其中“总氮”因不参与水质目标考核，使用的扣缴基准值为单独设定；</w:t>
            </w:r>
          </w:p>
          <w:p>
            <w:pPr>
              <w:numPr>
                <w:ilvl w:val="0"/>
                <w:numId w:val="5"/>
              </w:numPr>
              <w:ind w:left="425" w:leftChars="0" w:hanging="425" w:firstLineChars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数据类型：包括河流跨界断面每月监测数据、白洋淀每旬监测数据，每日水质自动站监测超标数据（3日计罚数据）；</w:t>
            </w:r>
          </w:p>
          <w:p>
            <w:pPr>
              <w:pStyle w:val="11"/>
              <w:widowControl w:val="0"/>
              <w:numPr>
                <w:ilvl w:val="0"/>
                <w:numId w:val="5"/>
              </w:numPr>
              <w:bidi w:val="0"/>
              <w:snapToGrid/>
              <w:spacing w:line="360" w:lineRule="auto"/>
              <w:ind w:left="425" w:leftChars="0" w:hanging="425" w:firstLineChars="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断面超标情况下才计算“超基准值倍数”及“扣缴金额”</w:t>
            </w:r>
            <w:r>
              <w:rPr>
                <w:rFonts w:hint="eastAsia"/>
                <w:vertAlign w:val="baseline"/>
                <w:lang w:eastAsia="zh-CN"/>
              </w:rPr>
              <w:t>；</w:t>
            </w:r>
          </w:p>
          <w:p>
            <w:pPr>
              <w:pStyle w:val="11"/>
              <w:widowControl w:val="0"/>
              <w:numPr>
                <w:ilvl w:val="0"/>
                <w:numId w:val="5"/>
              </w:numPr>
              <w:bidi w:val="0"/>
              <w:snapToGrid/>
              <w:spacing w:line="360" w:lineRule="auto"/>
              <w:ind w:left="425" w:leftChars="0" w:hanging="425" w:firstLineChars="0"/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超标倍数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超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准值倍数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数据的修约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按四舍六入五成双，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修约后至少保留1为有效位数；</w:t>
            </w:r>
          </w:p>
          <w:p>
            <w:pPr>
              <w:pStyle w:val="11"/>
              <w:widowControl w:val="0"/>
              <w:numPr>
                <w:ilvl w:val="0"/>
                <w:numId w:val="5"/>
              </w:numPr>
              <w:bidi w:val="0"/>
              <w:snapToGrid/>
              <w:spacing w:line="360" w:lineRule="auto"/>
              <w:ind w:left="425" w:leftChars="0" w:hanging="425" w:firstLineChars="0"/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超级准直倍数=（监测值-扣缴基准值）/扣缴基准值；</w:t>
            </w:r>
          </w:p>
          <w:p>
            <w:pPr>
              <w:pStyle w:val="11"/>
              <w:widowControl w:val="0"/>
              <w:numPr>
                <w:ilvl w:val="0"/>
                <w:numId w:val="5"/>
              </w:numPr>
              <w:bidi w:val="0"/>
              <w:snapToGrid/>
              <w:spacing w:line="360" w:lineRule="auto"/>
              <w:ind w:left="425" w:leftChars="0" w:hanging="425" w:firstLineChars="0"/>
              <w:jc w:val="both"/>
              <w:rPr>
                <w:vertAlign w:val="baseline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当前断面水质超标情况下“</w:t>
            </w:r>
            <w:r>
              <w:rPr>
                <w:rFonts w:hint="eastAsia"/>
                <w:lang w:val="en-US" w:eastAsia="zh-CN"/>
              </w:rPr>
              <w:t>入境水质达标或无水入境</w:t>
            </w:r>
            <w:r>
              <w:rPr>
                <w:rFonts w:hint="eastAsia"/>
                <w:b w:val="0"/>
                <w:bCs/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，计算“扣缴金额”，根据表1中“</w:t>
            </w:r>
            <w:r>
              <w:rPr>
                <w:rFonts w:hint="eastAsia"/>
                <w:b w:val="0"/>
                <w:bCs/>
                <w:lang w:val="en-US" w:eastAsia="zh-CN"/>
              </w:rPr>
              <w:t>入境水质达标或无水入境</w:t>
            </w:r>
            <w:r>
              <w:rPr>
                <w:rFonts w:hint="eastAsia"/>
                <w:lang w:val="en-US" w:eastAsia="zh-CN"/>
              </w:rPr>
              <w:t>扣缴费用(万元）”进行计算，属于单倍扣缴；</w:t>
            </w:r>
          </w:p>
          <w:p>
            <w:pPr>
              <w:pStyle w:val="11"/>
              <w:widowControl w:val="0"/>
              <w:numPr>
                <w:ilvl w:val="0"/>
                <w:numId w:val="5"/>
              </w:numPr>
              <w:bidi w:val="0"/>
              <w:snapToGrid/>
              <w:spacing w:line="360" w:lineRule="auto"/>
              <w:ind w:left="425" w:leftChars="0" w:hanging="425" w:firstLineChars="0"/>
              <w:jc w:val="both"/>
              <w:rPr>
                <w:b w:val="0"/>
                <w:bCs/>
                <w:vertAlign w:val="baseline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当前断面水质超标情况下“</w:t>
            </w:r>
            <w:r>
              <w:rPr>
                <w:rFonts w:hint="eastAsia"/>
                <w:b w:val="0"/>
                <w:bCs/>
              </w:rPr>
              <w:t>入境水质超标</w:t>
            </w:r>
            <w:r>
              <w:rPr>
                <w:rFonts w:hint="eastAsia"/>
                <w:b w:val="0"/>
                <w:bCs/>
                <w:lang w:val="en-US" w:eastAsia="zh-CN"/>
              </w:rPr>
              <w:t>”</w:t>
            </w:r>
            <w:r>
              <w:rPr>
                <w:rFonts w:hint="eastAsia"/>
                <w:b w:val="0"/>
                <w:bCs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lang w:val="en-US" w:eastAsia="zh-CN"/>
              </w:rPr>
              <w:t>①上游入境水质高于本断面水质，标注“未增加”，本断面不产生扣缴；②上游入境水质低于本断面水质，</w:t>
            </w:r>
            <w:r>
              <w:rPr>
                <w:rFonts w:hint="eastAsia"/>
                <w:lang w:val="en-US" w:eastAsia="zh-CN"/>
              </w:rPr>
              <w:t>计算“扣缴金额”，根据表1中“</w:t>
            </w:r>
            <w:r>
              <w:rPr>
                <w:rFonts w:hint="eastAsia"/>
                <w:b w:val="0"/>
                <w:bCs/>
              </w:rPr>
              <w:t>入境水质超标</w:t>
            </w:r>
            <w:r>
              <w:rPr>
                <w:rFonts w:hint="eastAsia"/>
                <w:lang w:val="en-US" w:eastAsia="zh-CN"/>
              </w:rPr>
              <w:t>扣缴费用(万元）”进行计算，属于双倍扣缴；</w:t>
            </w:r>
          </w:p>
          <w:p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生态补偿金扣缴规则</w:t>
            </w:r>
          </w:p>
          <w:tbl>
            <w:tblPr>
              <w:tblStyle w:val="14"/>
              <w:tblW w:w="4945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5"/>
              <w:gridCol w:w="1131"/>
              <w:gridCol w:w="1131"/>
              <w:gridCol w:w="1131"/>
              <w:gridCol w:w="1131"/>
              <w:gridCol w:w="11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考核因子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化学需氧量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氨氮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总磷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总氮</w:t>
                  </w:r>
                </w:p>
              </w:tc>
              <w:tc>
                <w:tcPr>
                  <w:tcW w:w="69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高锰酸盐指数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超基准值倍数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≤0.2*N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≤0.5*N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≤0.5*N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≤1.0*N</w:t>
                  </w:r>
                </w:p>
              </w:tc>
              <w:tc>
                <w:tcPr>
                  <w:tcW w:w="69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≤0.5*N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入境水质达标或无水入境扣缴费用(万元）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30*N</w:t>
                  </w:r>
                </w:p>
              </w:tc>
              <w:tc>
                <w:tcPr>
                  <w:tcW w:w="69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30*N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1554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入境水质超标扣缴费用(万元）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60*N</w:t>
                  </w:r>
                </w:p>
              </w:tc>
              <w:tc>
                <w:tcPr>
                  <w:tcW w:w="68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60*N</w:t>
                  </w:r>
                </w:p>
              </w:tc>
              <w:tc>
                <w:tcPr>
                  <w:tcW w:w="691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pStyle w:val="18"/>
                    <w:bidi w:val="0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60*N</w:t>
                  </w:r>
                </w:p>
              </w:tc>
            </w:tr>
          </w:tbl>
          <w:p>
            <w:pPr>
              <w:pStyle w:val="11"/>
              <w:widowControl w:val="0"/>
              <w:numPr>
                <w:ilvl w:val="0"/>
                <w:numId w:val="0"/>
              </w:numPr>
              <w:bidi w:val="0"/>
              <w:snapToGrid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12"/>
              <w:numPr>
                <w:ilvl w:val="0"/>
                <w:numId w:val="0"/>
              </w:numPr>
              <w:bidi w:val="0"/>
              <w:ind w:leftChars="0"/>
            </w:pPr>
          </w:p>
        </w:tc>
      </w:tr>
    </w:tbl>
    <w:p>
      <w:pPr>
        <w:pStyle w:val="18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40C82"/>
    <w:multiLevelType w:val="singleLevel"/>
    <w:tmpl w:val="A8640C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FA52F9"/>
    <w:multiLevelType w:val="multilevel"/>
    <w:tmpl w:val="3BFA52F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6FAB24A9"/>
    <w:rsid w:val="00EF1351"/>
    <w:rsid w:val="01B54127"/>
    <w:rsid w:val="05400A0F"/>
    <w:rsid w:val="0F3D334A"/>
    <w:rsid w:val="153220D4"/>
    <w:rsid w:val="1571436E"/>
    <w:rsid w:val="15F32D77"/>
    <w:rsid w:val="17C63C83"/>
    <w:rsid w:val="185E4787"/>
    <w:rsid w:val="19E021AE"/>
    <w:rsid w:val="1B8B4AFE"/>
    <w:rsid w:val="200B3309"/>
    <w:rsid w:val="2010022D"/>
    <w:rsid w:val="22C20B70"/>
    <w:rsid w:val="2830587D"/>
    <w:rsid w:val="2A5E4AD2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B445CF6"/>
    <w:rsid w:val="6C40706B"/>
    <w:rsid w:val="6FA8783E"/>
    <w:rsid w:val="6FAB24A9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2023-10-30T03:10:00Z</dcterms:created>
  <dc:creator>郭宇飞</dc:creator>
  <cp:lastModifiedBy>郭宇飞</cp:lastModifiedBy>
  <dcterms:modified xsi:type="dcterms:W3CDTF">2023-10-30T10:31:13Z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188736525C284E7FB4728A11B52ED284_11</vt:lpwstr>
  </property>
</Properties>
</file>