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国考水源地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弹窗-基本信息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现有信息按下表优化，按“断面代码”匹配；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18"/>
        <w:gridCol w:w="235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00B0F0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岗南水库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00B0F0"/>
          </w:tcPr>
          <w:p>
            <w:pPr>
              <w:pStyle w:val="18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2218" w:type="dxa"/>
          </w:tcPr>
          <w:p>
            <w:pPr>
              <w:pStyle w:val="18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监测信息</w:t>
            </w:r>
          </w:p>
        </w:tc>
        <w:tc>
          <w:tcPr>
            <w:tcW w:w="2357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所属地市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石家庄市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水源地级别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所属区县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水源地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所属水系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子牙河水系</w:t>
            </w:r>
          </w:p>
        </w:tc>
        <w:tc>
          <w:tcPr>
            <w:tcW w:w="2357" w:type="dxa"/>
            <w:shd w:val="clear" w:color="auto" w:fill="F1F1F1" w:themeFill="background1" w:themeFillShade="F2"/>
            <w:vAlign w:val="center"/>
          </w:tcPr>
          <w:p>
            <w:pPr>
              <w:pStyle w:val="18"/>
              <w:bidi w:val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考核级别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断面经纬度</w:t>
            </w:r>
          </w:p>
        </w:tc>
        <w:tc>
          <w:tcPr>
            <w:tcW w:w="2218" w:type="dxa"/>
            <w:vAlign w:val="top"/>
          </w:tcPr>
          <w:p>
            <w:pPr>
              <w:pStyle w:val="18"/>
              <w:bidi w:val="0"/>
              <w:rPr>
                <w:rFonts w:hint="eastAsia" w:eastAsia="仿宋_GB2312" w:asciiTheme="minorAscii" w:hAnsiTheme="minorAscii" w:cstheme="minorBidi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114.00000，38.33300</w:t>
            </w:r>
          </w:p>
        </w:tc>
        <w:tc>
          <w:tcPr>
            <w:tcW w:w="2357" w:type="dxa"/>
            <w:shd w:val="clear" w:color="auto" w:fill="F1F1F1" w:themeFill="background1" w:themeFillShade="F2"/>
            <w:vAlign w:val="center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监测频次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每月监测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水源保护区名称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岗南水库黄壁庄水库饮用水水源保护区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审批时间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2009年1月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center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一级保护区面积（km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218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135.3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二级保护区面积（km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准保护区面积（km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4309.82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5633.59</w:t>
            </w:r>
          </w:p>
        </w:tc>
      </w:tr>
    </w:tbl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地图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图例</w:t>
      </w:r>
    </w:p>
    <w:p>
      <w:pPr>
        <w:pStyle w:val="11"/>
        <w:bidi w:val="0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参考地表水，分为两部分，</w:t>
      </w:r>
      <w:r>
        <w:drawing>
          <wp:inline distT="0" distB="0" distL="114300" distR="114300">
            <wp:extent cx="2975610" cy="266065"/>
            <wp:effectExtent l="0" t="0" r="15240" b="63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不变，</w:t>
      </w:r>
      <w:r>
        <w:drawing>
          <wp:inline distT="0" distB="0" distL="114300" distR="114300">
            <wp:extent cx="733425" cy="563880"/>
            <wp:effectExtent l="0" t="0" r="9525" b="762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3702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改为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18" name="图片 18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市级地表水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19" name="图片 19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市级地下水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20" name="图片 20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县级地表水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21" name="图片 21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县级地下水</w:t>
            </w:r>
          </w:p>
        </w:tc>
      </w:tr>
    </w:tbl>
    <w:p>
      <w:pPr>
        <w:pStyle w:val="4"/>
        <w:bidi w:val="0"/>
      </w:pPr>
      <w:r>
        <w:rPr>
          <w:rFonts w:hint="eastAsia"/>
          <w:lang w:val="en-US" w:eastAsia="zh-CN"/>
        </w:rPr>
        <w:t>县级以上水源地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模块“国考水源地”后增加“县级以上水源地”模块；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左右两侧统计暂不显示，只做地图上的功能；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地图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图例</w:t>
      </w:r>
    </w:p>
    <w:p>
      <w:pPr>
        <w:pStyle w:val="11"/>
        <w:bidi w:val="0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参考地表水，分为两部分，</w:t>
      </w:r>
      <w:r>
        <w:drawing>
          <wp:inline distT="0" distB="0" distL="114300" distR="114300">
            <wp:extent cx="2975610" cy="266065"/>
            <wp:effectExtent l="0" t="0" r="15240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不变，</w:t>
      </w:r>
      <w:r>
        <w:drawing>
          <wp:inline distT="0" distB="0" distL="114300" distR="114300">
            <wp:extent cx="733425" cy="56388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3702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改为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9" name="图片 9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市级地表水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10" name="图片 10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市级地下水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11" name="图片 11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县级地表水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9550" cy="247650"/>
                  <wp:effectExtent l="0" t="0" r="0" b="0"/>
                  <wp:docPr id="12" name="图片 12" descr="无数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无数据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县级地下水</w:t>
            </w:r>
          </w:p>
        </w:tc>
      </w:tr>
    </w:tbl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图层管理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和“国考水源地”模块一样显示；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左侧勾选面板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参考“国考水源地”模块，具体如下；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1"/>
        <w:gridCol w:w="2083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县级以上饮用水源地（210个）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</w:p>
        </w:tc>
        <w:tc>
          <w:tcPr>
            <w:tcW w:w="0" w:type="auto"/>
          </w:tcPr>
          <w:p>
            <w:pPr>
              <w:pStyle w:val="18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市级饮用水源地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8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地表水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8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地下水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</w:p>
        </w:tc>
        <w:tc>
          <w:tcPr>
            <w:tcW w:w="0" w:type="auto"/>
          </w:tcPr>
          <w:p>
            <w:pPr>
              <w:pStyle w:val="18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县级饮用水源地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8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地表水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8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地下水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170个</w:t>
            </w:r>
          </w:p>
        </w:tc>
      </w:tr>
    </w:tbl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树状列表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参考“国考水源地”模块，具体如下；</w:t>
      </w:r>
    </w:p>
    <w:p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全部210个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82"/>
        <w:gridCol w:w="6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饮用水源地分布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说明（光标移动上来显示）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16个水源地，包括19个断面，其中1个市级、1个县级水源地存在多个断面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岗南水库黄壁庄水库饮用水水源保护区（岗南水库、黄壁庄水库）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栾城区城区集中式饮用水水源保护区（交通公园水源井、栾城中学水源井、柴武台公园水源井）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承德市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张家口市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21个水源地，包括23个断面，其中2个县级水源地存在多个断面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怀来县城区集中式饮用水水源地水源保护区（怀来县城区第一水源地（朱官屯）、怀来县城区第二水源地（窑子头））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阳原县城区集中式饮用水水源地水源保护区（阳原县城区集中式饮用水水源地(一水厂水源地)、阳原县城区集中式饮用水水源地(三水厂水源地)）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9个水源地，包括10个断面，其中1个县级水源地存在多个断面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卢龙县范庄水源地饮用水水源保护区（范庄水源地（4号井）、范庄水源地（9号井））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唐山市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廊坊市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12个水源地，包括14个断面，其中2个市级水源地存在多个断面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廊坊市经济技术开发区水源地饮用水水源保护区（开发区二水厂、开发区一水厂）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廊坊市城区水源地饮用水水源保护区（二水厂、一水厂）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23个水源地，包括29个断面，其中5个县级水源地存在多个断面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涿州市城区水源地饮用水水源保护区（涿州供水一厂、涿州供水二厂）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涞源县城区（二水厂）饮用水水源保护区（二水厂1＃、二水厂2＃、二水厂3＃）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 涞水县县城饮用水水源地水源保护区（涞水县县城饮用水水源地地表水厂1#地下水井、涞水县县城饮用水水源地地表水厂2#地下水井）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 蠡县城区饮用水水源地水源保护区（蠡县城区饮用水水源地老自来水厂、蠡县城区饮用水水源地地表水厂）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 博野县城区集中式饮用水水源地水源保护区（博野县城区饮用水水源地博野中学、博野县城区饮用水水源地博野县电力局）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沧州市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衡水市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34个水源地，包括35个断面，其中1个市级水源地存在多个断面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衡水地下水源地饮用水水源保护区（滏阳水厂、大庆水厂）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邢台市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邯郸市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定州市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辛集市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雄安新区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3个水源地，包括5个断面，其中2个县级水源地存在多个断面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雄县城区饮用水水源地水源保护区（政府广场井、水利局井）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安新县城区饮用水水源地水源保护区（检察院1＃、城建局3＃）</w:t>
            </w:r>
          </w:p>
        </w:tc>
      </w:tr>
    </w:tbl>
    <w:p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市级30个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82"/>
        <w:gridCol w:w="6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饮用水源地分布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说明（光标移动上来显示）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2个水源地，包括3个断面，其中1个市级水源地存在多个断面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岗南水库黄壁庄水库饮用水水源保护区（岗南水库、黄壁庄水库）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承德市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张家口市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唐山市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廊坊市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3个水源地，包括5个断面，其中2个市级水源地存在多个断面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廊坊市经济技术开发区水源地饮用水水源保护区（开发区二水厂、开发区一水厂）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廊坊市城区水源地饮用水水源保护区（二水厂、一水厂）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沧州市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衡水市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1个水源地，包括2个断面，其中1个市级水源地存在多个断面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衡水地下水源地饮用水水源保护区（滏阳水厂、大庆水厂）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邢台市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邯郸市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定州市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辛集市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雄安新区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0个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</w:tbl>
    <w:p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县级180个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71"/>
        <w:gridCol w:w="6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饮用水源地分布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说明（光标移动上来显示）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14个水源地，包括16个断面，其中1个县级水源地存在多个断面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栾城区城区集中式饮用水水源保护区（交通公园水源井、栾城中学水源井、柴武台公园水源井）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承德市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张家口市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18个水源地，包括20个断面，其中2个县级水源地存在多个断面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怀来县城区集中式饮用水水源地水源保护区（怀来县城区第一水源地（朱官屯）、怀来县城区第二水源地（窑子头））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阳原县城区集中式饮用水水源地水源保护区（阳原县城区集中式饮用水水源地(一水厂水源地)、阳原县城区集中式饮用水水源地(三水厂水源地)）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6个水源地，包括7个断面，其中1个县级水源地存在多个断面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卢龙县范庄水源地饮用水水源保护区（范庄水源地（4号井）、范庄水源地（9号井））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唐山市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廊坊市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20个水源地，包括26个断面，其中5个县级水源地存在多个断面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涿州市城区水源地饮用水水源保护区（涿州供水一厂、涿州供水二厂）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涞源县城区（二水厂）饮用水水源保护区（二水厂1＃、二水厂2＃、二水厂3＃）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 涞水县县城饮用水水源地水源保护区（涞水县县城饮用水水源地地表水厂1#地下水井、涞水县县城饮用水水源地地表水厂2#地下水井）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 蠡县城区饮用水水源地水源保护区（蠡县城区饮用水水源地老自来水厂、蠡县城区饮用水水源地地表水厂）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 博野县城区集中式饮用水水源地水源保护区（博野县城区饮用水水源地博野中学、博野县城区饮用水水源地博野县电力局）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沧州市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衡水市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邢台市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邯郸市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定州市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辛集市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雄安新区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</w:t>
            </w: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3个水源地，包括5个断面，其中2个县级水源地存在多个断面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雄县城区饮用水水源地水源保护区（政府广场井、水利局井）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 安新县城区饮用水水源地水源保护区（检察院1＃、城建局3＃）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地图-气泡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参考“国考水源地”；其中“水源地名称”改为“水源保护区名称”，其他信息不变；</w:t>
      </w:r>
    </w:p>
    <w:p>
      <w:pPr>
        <w:pStyle w:val="18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3676650" cy="2047875"/>
            <wp:effectExtent l="0" t="0" r="0" b="952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弹窗-基本信息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参考“国考水源地”；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830705"/>
            <wp:effectExtent l="0" t="0" r="9525" b="17145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36"/>
        <w:gridCol w:w="2218"/>
        <w:gridCol w:w="235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shd w:val="clear" w:color="auto" w:fill="00B0F0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岗南水库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6" w:type="dxa"/>
            <w:shd w:val="clear" w:color="auto" w:fill="00B0F0"/>
          </w:tcPr>
          <w:p>
            <w:pPr>
              <w:pStyle w:val="18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2218" w:type="dxa"/>
          </w:tcPr>
          <w:p>
            <w:pPr>
              <w:pStyle w:val="18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监测信息</w:t>
            </w:r>
          </w:p>
        </w:tc>
        <w:tc>
          <w:tcPr>
            <w:tcW w:w="2357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所属地市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石家庄市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水源地级别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所属区县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水源地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所属水系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子牙河水系</w:t>
            </w:r>
          </w:p>
        </w:tc>
        <w:tc>
          <w:tcPr>
            <w:tcW w:w="2357" w:type="dxa"/>
            <w:shd w:val="clear" w:color="auto" w:fill="F1F1F1" w:themeFill="background1" w:themeFillShade="F2"/>
            <w:vAlign w:val="center"/>
          </w:tcPr>
          <w:p>
            <w:pPr>
              <w:pStyle w:val="18"/>
              <w:bidi w:val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考核级别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default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断面经纬度</w:t>
            </w:r>
          </w:p>
        </w:tc>
        <w:tc>
          <w:tcPr>
            <w:tcW w:w="2218" w:type="dxa"/>
            <w:vAlign w:val="top"/>
          </w:tcPr>
          <w:p>
            <w:pPr>
              <w:pStyle w:val="18"/>
              <w:bidi w:val="0"/>
              <w:rPr>
                <w:rFonts w:hint="eastAsia" w:eastAsia="仿宋_GB2312" w:asciiTheme="minorAscii" w:hAnsiTheme="minorAscii" w:cstheme="minorBidi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114.00000，38.33300</w:t>
            </w:r>
          </w:p>
        </w:tc>
        <w:tc>
          <w:tcPr>
            <w:tcW w:w="2357" w:type="dxa"/>
            <w:shd w:val="clear" w:color="auto" w:fill="F1F1F1" w:themeFill="background1" w:themeFillShade="F2"/>
            <w:vAlign w:val="center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监测频次</w:t>
            </w:r>
          </w:p>
        </w:tc>
        <w:tc>
          <w:tcPr>
            <w:tcW w:w="1711" w:type="dxa"/>
          </w:tcPr>
          <w:p>
            <w:pPr>
              <w:pStyle w:val="12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每月监测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水源保护区名称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岗南水库黄壁庄水库饮用水水源保护区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审批时间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2009年1月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center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一级保护区面积（km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218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135.3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二级保护区面积（km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36" w:type="dxa"/>
            <w:shd w:val="clear" w:color="auto" w:fill="F1F1F1" w:themeFill="background1" w:themeFillShade="F2"/>
            <w:vAlign w:val="top"/>
          </w:tcPr>
          <w:p>
            <w:pPr>
              <w:pStyle w:val="12"/>
              <w:bidi w:val="0"/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准保护区面积（km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218" w:type="dxa"/>
            <w:vAlign w:val="top"/>
          </w:tcPr>
          <w:p>
            <w:pPr>
              <w:pStyle w:val="12"/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4309.82</w:t>
            </w:r>
          </w:p>
        </w:tc>
        <w:tc>
          <w:tcPr>
            <w:tcW w:w="2357" w:type="dxa"/>
            <w:shd w:val="clear" w:color="auto" w:fill="F1F1F1" w:themeFill="background1" w:themeFillShade="F2"/>
          </w:tcPr>
          <w:p>
            <w:pPr>
              <w:pStyle w:val="12"/>
              <w:bidi w:val="0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合计面积（km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5633.59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弹窗-监测信息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参考“国考水源地”；</w:t>
      </w:r>
    </w:p>
    <w:p>
      <w:pPr>
        <w:pStyle w:val="18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879850"/>
            <wp:effectExtent l="0" t="0" r="7620" b="635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52FC3D25"/>
    <w:rsid w:val="00EF1351"/>
    <w:rsid w:val="01B54127"/>
    <w:rsid w:val="05400A0F"/>
    <w:rsid w:val="0F3D334A"/>
    <w:rsid w:val="153220D4"/>
    <w:rsid w:val="1571436E"/>
    <w:rsid w:val="15F32D77"/>
    <w:rsid w:val="17C63C83"/>
    <w:rsid w:val="185E4787"/>
    <w:rsid w:val="19E021AE"/>
    <w:rsid w:val="1B8B4AFE"/>
    <w:rsid w:val="200B3309"/>
    <w:rsid w:val="2010022D"/>
    <w:rsid w:val="22C20B70"/>
    <w:rsid w:val="2830587D"/>
    <w:rsid w:val="2E1B62A8"/>
    <w:rsid w:val="2EC04FA7"/>
    <w:rsid w:val="343054E5"/>
    <w:rsid w:val="3540003F"/>
    <w:rsid w:val="3C686080"/>
    <w:rsid w:val="4CD5641A"/>
    <w:rsid w:val="4E152F6F"/>
    <w:rsid w:val="52324668"/>
    <w:rsid w:val="52FC3D25"/>
    <w:rsid w:val="54897167"/>
    <w:rsid w:val="58F07115"/>
    <w:rsid w:val="5AC13672"/>
    <w:rsid w:val="5D591684"/>
    <w:rsid w:val="6399666E"/>
    <w:rsid w:val="686139AD"/>
    <w:rsid w:val="6B445CF6"/>
    <w:rsid w:val="6C40706B"/>
    <w:rsid w:val="6FA8783E"/>
    <w:rsid w:val="6FC32E89"/>
    <w:rsid w:val="707A41EE"/>
    <w:rsid w:val="70A703CB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2023-10-25T07:58:00Z</dcterms:created>
  <dc:creator>郭宇飞</dc:creator>
  <cp:lastModifiedBy>郭宇飞</cp:lastModifiedBy>
  <dcterms:modified xsi:type="dcterms:W3CDTF">2023-10-29T12:28:20Z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A24AB7ED92864415B24935CFA7AA096B_11</vt:lpwstr>
  </property>
</Properties>
</file>