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黑臭水体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在“污水厂”后增加“黑臭水体”模块；图标使用原来的http://lc.guo.lol:28080/HeBeiSHJ/#/login?redirect=%2Fguide系统中</w:t>
      </w:r>
      <w:r>
        <w:drawing>
          <wp:inline distT="0" distB="0" distL="114300" distR="114300">
            <wp:extent cx="360045" cy="39370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图标；</w:t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具体内容详见蓝湖，https://lanhuapp.com/link/#/invite?sid=lx0xTaVl</w:t>
      </w:r>
    </w:p>
    <w:p>
      <w:pPr>
        <w:pStyle w:val="21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分析评价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分析报表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整体调整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原有的横向显示的表名称信息，改为在左侧面板竖向显示；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按下表顺序及名称显示；名称一行显示不全的，增加光标悬停显示气泡，气泡中显示全称；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新增“</w:t>
      </w:r>
      <w:r>
        <w:rPr>
          <w:rFonts w:hint="eastAsia"/>
          <w:highlight w:val="none"/>
          <w:lang w:val="en-US" w:eastAsia="zh-CN"/>
        </w:rPr>
        <w:t>白洋淀断面超标情况分析表</w:t>
      </w:r>
      <w:r>
        <w:rPr>
          <w:rFonts w:hint="eastAsia"/>
          <w:lang w:val="en-US" w:eastAsia="zh-CN"/>
        </w:rPr>
        <w:t>”；</w:t>
      </w:r>
    </w:p>
    <w:tbl>
      <w:tblPr>
        <w:tblStyle w:val="1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分析报表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城市地表水达标通报排名断面监测数据表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全省断面达标率统计表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国省考断面监测数据表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国省考断面超标情况统计表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国省考月度Ⅴ类及以下水质断面统计表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白洋淀流域断面达标率统计表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highlight w:val="yellow"/>
                <w:lang w:val="en-US" w:eastAsia="zh-CN"/>
              </w:rPr>
              <w:t>白洋淀断面超标情况分析表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白洋淀河流同期水质优Ⅲ和Ⅳ比例对比统计表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白洋淀河流同期水质Ⅲ类及以上和Ⅳ类及以下断面占比统计表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白洋淀淀区同期水质Ⅲ类及以上和Ⅳ类及以下断面占比统计表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白洋淀河流断面主要指标余月值报表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白洋淀淀区主要指标余月值报表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白洋淀淀区水质改善和达标潜力分析表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河北省八大水系省考核断面水质监测及生态补偿金扣缴情况统计表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vAlign w:val="center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白洋淀流域考核断面生态补偿金扣缴统计表</w:t>
            </w:r>
          </w:p>
        </w:tc>
      </w:tr>
    </w:tbl>
    <w:p>
      <w:pPr>
        <w:pStyle w:val="21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白洋淀断面超标情况分析表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在“白洋淀流域断面达标率统计表”下增加“白洋淀断面超标情况分析表”,内容如下；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3992"/>
        <w:gridCol w:w="1639"/>
        <w:gridCol w:w="1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eastAsia" w:eastAsia="仿宋_GB2312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统计维度：</w:t>
            </w:r>
          </w:p>
        </w:tc>
        <w:tc>
          <w:tcPr>
            <w:tcW w:w="3992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单时间</w:t>
            </w:r>
          </w:p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累计均值</w:t>
            </w:r>
          </w:p>
        </w:tc>
        <w:tc>
          <w:tcPr>
            <w:tcW w:w="1639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eastAsia" w:eastAsia="仿宋_GB2312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时间维度：</w:t>
            </w:r>
          </w:p>
        </w:tc>
        <w:tc>
          <w:tcPr>
            <w:tcW w:w="1451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eastAsia" w:eastAsia="仿宋_GB231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◉</w:t>
            </w:r>
            <w:r>
              <w:rPr>
                <w:rFonts w:hint="eastAsia"/>
                <w:vertAlign w:val="baseline"/>
                <w:lang w:val="en-US" w:eastAsia="zh-CN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default" w:eastAsia="仿宋_GB2312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监测时间：</w:t>
            </w:r>
          </w:p>
        </w:tc>
        <w:tc>
          <w:tcPr>
            <w:tcW w:w="3992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default" w:eastAsia="仿宋_GB2312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2023年4月</w:t>
            </w:r>
          </w:p>
        </w:tc>
        <w:tc>
          <w:tcPr>
            <w:tcW w:w="1639" w:type="dxa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sym w:font="Wingdings 2" w:char="0099"/>
            </w:r>
            <w:r>
              <w:rPr>
                <w:rFonts w:hint="eastAsia"/>
                <w:lang w:val="en-US" w:eastAsia="zh-CN"/>
              </w:rPr>
              <w:t>初审</w:t>
            </w:r>
          </w:p>
        </w:tc>
        <w:tc>
          <w:tcPr>
            <w:tcW w:w="1451" w:type="dxa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◉</w:t>
            </w:r>
            <w:r>
              <w:rPr>
                <w:rFonts w:hint="eastAsia"/>
                <w:lang w:val="en-US" w:eastAsia="zh-CN"/>
              </w:rPr>
              <w:t>终审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pStyle w:val="12"/>
              <w:numPr>
                <w:ilvl w:val="0"/>
                <w:numId w:val="0"/>
              </w:numPr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因子选择：</w:t>
            </w:r>
          </w:p>
        </w:tc>
        <w:tc>
          <w:tcPr>
            <w:tcW w:w="3992" w:type="dxa"/>
            <w:vAlign w:val="top"/>
          </w:tcPr>
          <w:p>
            <w:pPr>
              <w:pStyle w:val="12"/>
              <w:numPr>
                <w:ilvl w:val="0"/>
                <w:numId w:val="0"/>
              </w:numPr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FF"/>
              </w:rPr>
              <w:t>化学需氧量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高锰酸盐指数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氨氮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总磷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总氮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溶解氧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生化需氧量</w:t>
            </w:r>
          </w:p>
        </w:tc>
        <w:tc>
          <w:tcPr>
            <w:tcW w:w="1639" w:type="dxa"/>
            <w:shd w:val="clear" w:color="auto" w:fill="00B0F0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生成报表</w:t>
            </w:r>
          </w:p>
        </w:tc>
        <w:tc>
          <w:tcPr>
            <w:tcW w:w="1451" w:type="dxa"/>
            <w:shd w:val="clear" w:color="auto" w:fill="00B0F0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导出报表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pStyle w:val="15"/>
              <w:bidi w:val="0"/>
              <w:rPr>
                <w:rFonts w:hint="default"/>
                <w:lang w:val="en-US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白洋淀断面超标情况分析表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pStyle w:val="21"/>
              <w:bidi w:val="0"/>
              <w:rPr>
                <w:rFonts w:hint="eastAsia"/>
                <w:lang w:val="en-US" w:eastAsia="zh-CN"/>
              </w:rPr>
            </w:pPr>
            <w:r>
              <w:rPr>
                <w:color w:val="7F7F7F" w:themeColor="background1" w:themeShade="80"/>
              </w:rPr>
              <w:t>请选择条件后生成报表</w:t>
            </w:r>
          </w:p>
        </w:tc>
      </w:tr>
    </w:tbl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查询条件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统计维度：包括“单时间、累计均值”默认显示单时间；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时间维度：包括“月”，默认选中；</w:t>
      </w:r>
    </w:p>
    <w:p>
      <w:pPr>
        <w:pStyle w:val="12"/>
        <w:bidi w:val="0"/>
      </w:pPr>
      <w:r>
        <w:rPr>
          <w:rFonts w:hint="eastAsia"/>
        </w:rPr>
        <w:t>监测时间：</w:t>
      </w:r>
      <w:r>
        <w:rPr>
          <w:rFonts w:hint="eastAsia"/>
          <w:lang w:val="en-US" w:eastAsia="zh-CN"/>
        </w:rPr>
        <w:t>“单时间、累计均值”，都显示“年月”，统计时单月统计当月的数据，累计均值时统计1月-选择月的累计均值；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“初审”“终审”两个选择按钮，默认选中终审；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因子选择：包括24项因子，默认勾选“化学需氧量、高锰酸盐指数、氨氮、总磷、总氮、溶解氧、生化需氧量”7类因子；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生成报告按钮，点击后生成报表；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导出报表按钮，生成报表后点击下载报表；</w:t>
      </w:r>
    </w:p>
    <w:p>
      <w:pPr>
        <w:pStyle w:val="5"/>
        <w:bidi w:val="0"/>
      </w:pPr>
      <w:r>
        <w:rPr>
          <w:rFonts w:hint="eastAsia"/>
          <w:lang w:val="en-US" w:eastAsia="zh-CN"/>
        </w:rPr>
        <w:t>报表列表</w:t>
      </w:r>
    </w:p>
    <w:p>
      <w:pPr>
        <w:pStyle w:val="12"/>
        <w:bidi w:val="0"/>
        <w:rPr>
          <w:rStyle w:val="25"/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第一列的断面名称，按白洋淀8点位（最后一个是“入湖区（南刘庄）”）、湖心区、非湖心区、全淀、</w:t>
      </w:r>
      <w:r>
        <w:rPr>
          <w:rStyle w:val="25"/>
          <w:rFonts w:hint="eastAsia"/>
          <w:lang w:val="en-US" w:eastAsia="zh-CN"/>
        </w:rPr>
        <w:t>入淀口4个，河流断面49个，的顺序显示；</w:t>
      </w:r>
    </w:p>
    <w:p>
      <w:pPr>
        <w:pStyle w:val="12"/>
        <w:bidi w:val="0"/>
        <w:rPr>
          <w:rStyle w:val="25"/>
          <w:rFonts w:hint="eastAsia"/>
          <w:lang w:val="en-US" w:eastAsia="zh-CN"/>
        </w:rPr>
      </w:pPr>
      <w:r>
        <w:rPr>
          <w:rStyle w:val="25"/>
          <w:rFonts w:hint="eastAsia"/>
          <w:lang w:val="en-US" w:eastAsia="zh-CN"/>
        </w:rPr>
        <w:t>因子默认，且按此顺序显示</w:t>
      </w:r>
      <w:r>
        <w:rPr>
          <w:rFonts w:hint="eastAsia"/>
          <w:lang w:val="en-US" w:eastAsia="zh-CN"/>
        </w:rPr>
        <w:t>“化学需氧量、高锰酸盐指数、氨氮、总磷、总氮、溶解氧、生化需氧量”7类因子，其他勾选的因子在其后显示；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单时间</w:t>
      </w:r>
    </w:p>
    <w:tbl>
      <w:tblPr>
        <w:tblStyle w:val="1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531"/>
        <w:gridCol w:w="684"/>
        <w:gridCol w:w="2443"/>
        <w:gridCol w:w="927"/>
        <w:gridCol w:w="963"/>
        <w:gridCol w:w="819"/>
        <w:gridCol w:w="819"/>
        <w:gridCol w:w="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52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2023年4月白洋淀断面超标情况分析表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断面名称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水质</w:t>
            </w:r>
          </w:p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类别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去年同期水质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超三类污染物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化学需氧量(mg/L)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高锰酸盐指数(mg/L)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氨氮(mg/L)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总磷(mg/L)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... 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圈头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总磷1.40（Ⅴ）、总氮0.4（Ⅳ）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0.028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入湖区（南刘庄）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溶解氧（Ⅳ）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湖心区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非湖心区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全淀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入淀口断面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河流断面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</w:tr>
    </w:tbl>
    <w:p>
      <w:pPr>
        <w:pStyle w:val="12"/>
        <w:bidi w:val="0"/>
      </w:pPr>
      <w:r>
        <w:rPr>
          <w:rFonts w:hint="eastAsia"/>
          <w:lang w:val="en-US" w:eastAsia="zh-CN"/>
        </w:rPr>
        <w:t>累计均值</w:t>
      </w:r>
    </w:p>
    <w:tbl>
      <w:tblPr>
        <w:tblStyle w:val="1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531"/>
        <w:gridCol w:w="684"/>
        <w:gridCol w:w="2443"/>
        <w:gridCol w:w="927"/>
        <w:gridCol w:w="963"/>
        <w:gridCol w:w="819"/>
        <w:gridCol w:w="819"/>
        <w:gridCol w:w="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52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2023年1-4月白洋淀断面超标情况分析表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断面名称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水质</w:t>
            </w:r>
          </w:p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类别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去年同期水质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超三类污染物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化学需氧量(mg/L)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高锰酸盐指数(mg/L)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氨氮(mg/L)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总磷(mg/L)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8"/>
                <w:szCs w:val="18"/>
                <w:lang w:val="en-US" w:eastAsia="zh-CN"/>
              </w:rPr>
              <w:t>... 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圈头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总磷1.40（Ⅴ）、总氮0.4（Ⅳ）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0.028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入湖区（南刘庄）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溶解氧（Ⅳ）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湖心区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非湖心区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全淀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入淀口断面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河流断面</w:t>
            </w: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1"/>
              <w:bidi w:val="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... ...</w:t>
            </w:r>
          </w:p>
        </w:tc>
      </w:tr>
    </w:tbl>
    <w:p/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白洋淀</w:t>
      </w:r>
      <w:r>
        <w:rPr>
          <w:rFonts w:hint="eastAsia"/>
        </w:rPr>
        <w:t>河流断面主要指标余月值报表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查询条件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增加“初审”“终审”两个选择按钮，默认选中终审；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增加因子选择下拉框，并默认选择“</w:t>
      </w:r>
      <w:r>
        <w:rPr>
          <w:rFonts w:hint="eastAsia"/>
        </w:rPr>
        <w:t>化学需氧量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高锰酸盐指数</w:t>
      </w:r>
      <w:r>
        <w:rPr>
          <w:rFonts w:hint="eastAsia"/>
          <w:lang w:eastAsia="zh-CN"/>
        </w:rPr>
        <w:t>、</w:t>
      </w:r>
      <w:r>
        <w:rPr>
          <w:rFonts w:hint="eastAsia"/>
        </w:rPr>
        <w:t>氨氮</w:t>
      </w:r>
      <w:r>
        <w:rPr>
          <w:rFonts w:hint="eastAsia"/>
          <w:lang w:eastAsia="zh-CN"/>
        </w:rPr>
        <w:t>、</w:t>
      </w:r>
      <w:r>
        <w:rPr>
          <w:rFonts w:hint="eastAsia"/>
        </w:rPr>
        <w:t>总磷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五日生化需氧量</w:t>
      </w:r>
      <w:r>
        <w:rPr>
          <w:rFonts w:hint="eastAsia"/>
          <w:lang w:eastAsia="zh-CN"/>
        </w:rPr>
        <w:t>、</w:t>
      </w:r>
      <w:r>
        <w:rPr>
          <w:rFonts w:hint="eastAsia"/>
        </w:rPr>
        <w:t>溶解氧</w:t>
      </w:r>
      <w:r>
        <w:rPr>
          <w:rFonts w:hint="eastAsia"/>
          <w:lang w:val="en-US" w:eastAsia="zh-CN"/>
        </w:rPr>
        <w:t>”，列表因子也按此顺序显示，其他因子可勾选；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报表列表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在列表标题后方增加“（注：余月值指年度达到Ⅲ类水质时所余月份最高允许值）”信息；</w:t>
      </w:r>
    </w:p>
    <w:p>
      <w:pPr>
        <w:pStyle w:val="21"/>
        <w:bidi w:val="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458470</wp:posOffset>
                </wp:positionV>
                <wp:extent cx="892175" cy="130175"/>
                <wp:effectExtent l="6350" t="6350" r="15875" b="158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130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9pt;margin-top:36.1pt;height:10.25pt;width:70.25pt;z-index:251661312;v-text-anchor:middle;mso-width-relative:page;mso-height-relative:page;" filled="f" stroked="t" coordsize="21600,21600" o:gfxdata="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KgAeD1gAAAAkBAAAPAAAAAAAAAAEAIAAAACIAAABkcnMvZG93bnJldi54bWxQSwEC&#10;FAAUAAAACACHTuJAcyw/zGgCAADMBAAADgAAAAAAAAABACAAAAAl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457835</wp:posOffset>
                </wp:positionV>
                <wp:extent cx="454660" cy="130175"/>
                <wp:effectExtent l="6350" t="6350" r="15240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130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95pt;margin-top:36.05pt;height:10.25pt;width:35.8pt;z-index:251660288;v-text-anchor:middle;mso-width-relative:page;mso-height-relative:page;" filled="f" stroked="t" coordsize="21600,21600" o:gfxdata="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qtyfnWAAAACQEAAA8AAAAAAAAAAQAgAAAAIgAAAGRycy9kb3ducmV2LnhtbFBL&#10;AQIUABQAAAAIAIdO4kAXTCuUagIAAMw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660400</wp:posOffset>
                </wp:positionV>
                <wp:extent cx="1077595" cy="130175"/>
                <wp:effectExtent l="6350" t="6350" r="20955" b="158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9060" y="7872730"/>
                          <a:ext cx="1077595" cy="130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65pt;margin-top:52pt;height:10.25pt;width:84.85pt;z-index:251659264;v-text-anchor:middle;mso-width-relative:page;mso-height-relative:page;" filled="f" stroked="t" coordsize="21600,21600" o:gfxdata="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ue+JzVAAAACwEAAA8AAAAAAAAAAQAgAAAAIgAAAGRy&#10;cy9kb3ducmV2LnhtbFBLAQIUABQAAAAIAIdO4kAn+3ybegIAANkEAAAOAAAAAAAAAAEAIAAAACQ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578735"/>
            <wp:effectExtent l="0" t="0" r="10160" b="12065"/>
            <wp:docPr id="16" name="图片 16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“初审”数据关联使用“数据管理-数据上报审核-数据手工上报”中的</w:t>
      </w:r>
      <w:r>
        <w:rPr>
          <w:rFonts w:hint="eastAsia"/>
          <w:b/>
          <w:bCs/>
          <w:lang w:val="en-US" w:eastAsia="zh-CN"/>
        </w:rPr>
        <w:t>《采测分离断面初审数据表》</w:t>
      </w:r>
      <w:r>
        <w:rPr>
          <w:rFonts w:hint="eastAsia"/>
          <w:lang w:val="en-US" w:eastAsia="zh-CN"/>
        </w:rPr>
        <w:t>数据；</w:t>
      </w:r>
      <w:r>
        <w:rPr>
          <w:rFonts w:hint="eastAsia"/>
          <w:color w:val="FF0000"/>
          <w:lang w:val="en-US" w:eastAsia="zh-CN"/>
        </w:rPr>
        <w:t>（</w:t>
      </w:r>
      <w:r>
        <w:rPr>
          <w:rFonts w:hint="eastAsia"/>
          <w:color w:val="FF0000"/>
          <w:highlight w:val="none"/>
          <w:lang w:val="en-US" w:eastAsia="zh-CN"/>
        </w:rPr>
        <w:t>53个河流断面数据</w:t>
      </w:r>
      <w:r>
        <w:rPr>
          <w:rFonts w:hint="eastAsia"/>
          <w:color w:val="FF0000"/>
          <w:lang w:val="en-US" w:eastAsia="zh-CN"/>
        </w:rPr>
        <w:t>）</w:t>
      </w:r>
    </w:p>
    <w:p>
      <w:pPr>
        <w:pStyle w:val="12"/>
        <w:bidi w:val="0"/>
        <w:rPr>
          <w:rFonts w:hint="eastAsia"/>
        </w:rPr>
      </w:pPr>
      <w:r>
        <w:rPr>
          <w:rFonts w:hint="eastAsia"/>
          <w:lang w:val="en-US" w:eastAsia="zh-CN"/>
        </w:rPr>
        <w:t>“终审”数据关联使用“数据管理-数据上报审核-数据手工上报”中的</w:t>
      </w:r>
      <w:r>
        <w:rPr>
          <w:rFonts w:hint="eastAsia"/>
          <w:b/>
          <w:bCs/>
          <w:lang w:val="en-US" w:eastAsia="zh-CN"/>
        </w:rPr>
        <w:t>《白洋淀河流月数据表》</w:t>
      </w:r>
      <w:r>
        <w:rPr>
          <w:rFonts w:hint="eastAsia"/>
          <w:lang w:val="en-US" w:eastAsia="zh-CN"/>
        </w:rPr>
        <w:t>数据；</w:t>
      </w:r>
      <w:r>
        <w:rPr>
          <w:rFonts w:hint="eastAsia"/>
          <w:color w:val="FF0000"/>
          <w:lang w:val="en-US" w:eastAsia="zh-CN"/>
        </w:rPr>
        <w:t>（</w:t>
      </w:r>
      <w:r>
        <w:rPr>
          <w:rFonts w:hint="eastAsia"/>
          <w:color w:val="FF0000"/>
          <w:highlight w:val="none"/>
          <w:lang w:val="en-US" w:eastAsia="zh-CN"/>
        </w:rPr>
        <w:t>全部53个河流断面数据</w:t>
      </w:r>
      <w:r>
        <w:rPr>
          <w:rFonts w:hint="eastAsia"/>
          <w:color w:val="FF0000"/>
          <w:lang w:val="en-US" w:eastAsia="zh-CN"/>
        </w:rPr>
        <w:t>）</w:t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生成的报表格式更改为下表格式；</w:t>
      </w:r>
    </w:p>
    <w:tbl>
      <w:tblPr>
        <w:tblStyle w:val="17"/>
        <w:tblW w:w="0" w:type="auto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1006"/>
        <w:gridCol w:w="791"/>
        <w:gridCol w:w="516"/>
        <w:gridCol w:w="516"/>
        <w:gridCol w:w="819"/>
        <w:gridCol w:w="668"/>
        <w:gridCol w:w="819"/>
        <w:gridCol w:w="819"/>
        <w:gridCol w:w="516"/>
        <w:gridCol w:w="516"/>
        <w:gridCol w:w="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断面名称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2023年1-4月水质状况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去年同期</w:t>
            </w:r>
            <w:r>
              <w:rPr>
                <w:b/>
                <w:bCs w:val="0"/>
                <w:sz w:val="15"/>
                <w:szCs w:val="15"/>
                <w:lang w:val="en-US" w:eastAsia="zh-CN"/>
              </w:rPr>
              <w:t>水质状况</w:t>
            </w:r>
          </w:p>
        </w:tc>
        <w:tc>
          <w:tcPr>
            <w:tcW w:w="0" w:type="auto"/>
            <w:gridSpan w:val="6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化学需氧量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 w:eastAsia="仿宋_GB2312"/>
                <w:b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同比削减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余月值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去年同期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同比削减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</w:rPr>
              <w:t>大沙地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12.0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11.2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-7.1%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12.2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-97%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</w:rPr>
              <w:t>紫荆关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17.0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-9.7%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20.6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5.4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</w:rPr>
              <w:t>膳马庙村北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18.0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-26.8%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19.8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-6%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5.2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</w:rPr>
              <w:t>东马营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16.3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-7.9%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16.2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-35%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</w:rPr>
              <w:t>新盖房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7.3%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23.0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-51%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</w:rPr>
              <w:t>王林口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16.7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12.5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-33.6%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南疃村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-1.4%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22.8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-51%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西新庄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19.0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17.6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-8.0%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20.5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14.6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-40%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4.6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北河店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-12.9%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22.1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17.2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-28%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白合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-7.1%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22.5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-48%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66" w:type="dxa"/>
            <w:shd w:val="clear" w:color="auto" w:fill="auto"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516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516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default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default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default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516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516" w:type="dxa"/>
            <w:shd w:val="clear" w:color="auto" w:fill="auto"/>
            <w:noWrap/>
            <w:vAlign w:val="center"/>
          </w:tcPr>
          <w:p>
            <w:pPr>
              <w:pStyle w:val="21"/>
              <w:bidi w:val="0"/>
              <w:ind w:firstLine="0" w:firstLineChars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</w:tbl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保留位数、修约规则等按“白洋淀水质背景资料”显示；</w:t>
      </w:r>
    </w:p>
    <w:p>
      <w:pPr>
        <w:pStyle w:val="4"/>
        <w:bidi w:val="0"/>
        <w:rPr>
          <w:rFonts w:hint="eastAsia"/>
        </w:rPr>
      </w:pPr>
      <w:r>
        <w:rPr>
          <w:rFonts w:hint="eastAsia"/>
        </w:rPr>
        <w:t>白洋淀淀区主要指标余月值报表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查询条件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增加“初审”“终审”两个选择按钮，默认选中终审；</w:t>
      </w:r>
    </w:p>
    <w:p>
      <w:pPr>
        <w:pStyle w:val="12"/>
        <w:bidi w:val="0"/>
        <w:rPr>
          <w:rFonts w:hint="eastAsia"/>
        </w:rPr>
      </w:pPr>
      <w:r>
        <w:rPr>
          <w:rFonts w:hint="eastAsia"/>
          <w:lang w:val="en-US" w:eastAsia="zh-CN"/>
        </w:rPr>
        <w:t>增加因子选择下拉框，并默认选择“</w:t>
      </w:r>
      <w:r>
        <w:rPr>
          <w:rFonts w:hint="eastAsia"/>
        </w:rPr>
        <w:t>化学需氧量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高锰酸盐指数</w:t>
      </w:r>
      <w:r>
        <w:rPr>
          <w:rFonts w:hint="eastAsia"/>
          <w:lang w:eastAsia="zh-CN"/>
        </w:rPr>
        <w:t>、</w:t>
      </w:r>
      <w:r>
        <w:rPr>
          <w:rFonts w:hint="eastAsia"/>
        </w:rPr>
        <w:t>氨氮</w:t>
      </w:r>
      <w:r>
        <w:rPr>
          <w:rFonts w:hint="eastAsia"/>
          <w:lang w:eastAsia="zh-CN"/>
        </w:rPr>
        <w:t>、</w:t>
      </w:r>
      <w:r>
        <w:rPr>
          <w:rFonts w:hint="eastAsia"/>
        </w:rPr>
        <w:t>总磷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五日生化需氧量</w:t>
      </w:r>
      <w:r>
        <w:rPr>
          <w:rFonts w:hint="eastAsia"/>
          <w:lang w:eastAsia="zh-CN"/>
        </w:rPr>
        <w:t>、</w:t>
      </w:r>
      <w:r>
        <w:rPr>
          <w:rFonts w:hint="eastAsia"/>
        </w:rPr>
        <w:t>溶解氧</w:t>
      </w:r>
      <w:r>
        <w:rPr>
          <w:rFonts w:hint="eastAsia"/>
          <w:lang w:val="en-US" w:eastAsia="zh-CN"/>
        </w:rPr>
        <w:t>”，列表因子也按此顺序显示，其他因子可够选；</w:t>
      </w: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报表列表</w:t>
      </w:r>
    </w:p>
    <w:p>
      <w:pPr>
        <w:pStyle w:val="12"/>
        <w:bidi w:val="0"/>
        <w:rPr>
          <w:rFonts w:hint="eastAsia"/>
        </w:rPr>
      </w:pPr>
      <w:r>
        <w:rPr>
          <w:rFonts w:hint="eastAsia"/>
          <w:lang w:val="en-US" w:eastAsia="zh-CN"/>
        </w:rPr>
        <w:t>在列表标题后方增加“（注：余月值指年度达到Ⅲ类水质时所余月份最高允许值）”信息；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“初审”数据关联使用“数据管理-数据上报审核-数据手工上报”中的</w:t>
      </w:r>
      <w:r>
        <w:rPr>
          <w:rFonts w:hint="eastAsia"/>
          <w:b/>
          <w:bCs/>
          <w:lang w:val="en-US" w:eastAsia="zh-CN"/>
        </w:rPr>
        <w:t>《采测分离断面初审数据表》</w:t>
      </w:r>
      <w:r>
        <w:rPr>
          <w:rFonts w:hint="eastAsia"/>
          <w:lang w:val="en-US" w:eastAsia="zh-CN"/>
        </w:rPr>
        <w:t>数据；</w:t>
      </w:r>
      <w:r>
        <w:rPr>
          <w:rFonts w:hint="eastAsia"/>
          <w:color w:val="FF0000"/>
          <w:lang w:val="en-US" w:eastAsia="zh-CN"/>
        </w:rPr>
        <w:t>（</w:t>
      </w:r>
      <w:r>
        <w:rPr>
          <w:rFonts w:hint="eastAsia"/>
          <w:color w:val="FF0000"/>
          <w:highlight w:val="none"/>
          <w:lang w:val="en-US" w:eastAsia="zh-CN"/>
        </w:rPr>
        <w:t>8个白洋淀断面数据</w:t>
      </w:r>
      <w:r>
        <w:rPr>
          <w:rFonts w:hint="eastAsia"/>
          <w:color w:val="FF0000"/>
          <w:lang w:val="en-US" w:eastAsia="zh-CN"/>
        </w:rPr>
        <w:t>）</w:t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“终审”数据关联使用“数据管理-数据上报审核-数据手工上报”中的</w:t>
      </w:r>
      <w:r>
        <w:rPr>
          <w:rFonts w:hint="eastAsia"/>
          <w:b/>
          <w:bCs/>
          <w:lang w:val="en-US" w:eastAsia="zh-CN"/>
        </w:rPr>
        <w:t>《白洋淀淀区月数据表》</w:t>
      </w:r>
      <w:r>
        <w:rPr>
          <w:rFonts w:hint="eastAsia"/>
          <w:lang w:val="en-US" w:eastAsia="zh-CN"/>
        </w:rPr>
        <w:t>数据；</w:t>
      </w:r>
      <w:r>
        <w:rPr>
          <w:rFonts w:hint="eastAsia"/>
          <w:color w:val="FF0000"/>
          <w:lang w:val="en-US" w:eastAsia="zh-CN"/>
        </w:rPr>
        <w:t>（</w:t>
      </w:r>
      <w:r>
        <w:rPr>
          <w:rFonts w:hint="eastAsia"/>
          <w:color w:val="FF0000"/>
          <w:highlight w:val="none"/>
          <w:lang w:val="en-US" w:eastAsia="zh-CN"/>
        </w:rPr>
        <w:t>全部8个白洋淀断面数据</w:t>
      </w:r>
      <w:r>
        <w:rPr>
          <w:rFonts w:hint="eastAsia"/>
          <w:color w:val="FF0000"/>
          <w:lang w:val="en-US" w:eastAsia="zh-CN"/>
        </w:rPr>
        <w:t>）</w:t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生成的报表格式更改为下表格式；</w:t>
      </w:r>
    </w:p>
    <w:tbl>
      <w:tblPr>
        <w:tblStyle w:val="17"/>
        <w:tblW w:w="0" w:type="auto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084"/>
        <w:gridCol w:w="860"/>
        <w:gridCol w:w="516"/>
        <w:gridCol w:w="516"/>
        <w:gridCol w:w="819"/>
        <w:gridCol w:w="668"/>
        <w:gridCol w:w="819"/>
        <w:gridCol w:w="819"/>
        <w:gridCol w:w="516"/>
        <w:gridCol w:w="516"/>
        <w:gridCol w:w="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断面名称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2023年1-4月水质状况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去年同期</w:t>
            </w:r>
            <w:r>
              <w:rPr>
                <w:b/>
                <w:bCs w:val="0"/>
                <w:sz w:val="15"/>
                <w:szCs w:val="15"/>
                <w:lang w:val="en-US" w:eastAsia="zh-CN"/>
              </w:rPr>
              <w:t>水质状况</w:t>
            </w:r>
          </w:p>
        </w:tc>
        <w:tc>
          <w:tcPr>
            <w:tcW w:w="0" w:type="auto"/>
            <w:gridSpan w:val="6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化学需氧量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 w:eastAsia="仿宋_GB2312"/>
                <w:b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同比削减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余月值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去年同期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同比削减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b/>
                <w:bCs w:val="0"/>
                <w:sz w:val="15"/>
                <w:szCs w:val="15"/>
              </w:rPr>
            </w:pPr>
            <w:r>
              <w:rPr>
                <w:rFonts w:hint="default"/>
                <w:b/>
                <w:bCs w:val="0"/>
                <w:sz w:val="15"/>
                <w:szCs w:val="15"/>
                <w:lang w:val="en-US" w:eastAsia="zh-CN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烧车淀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12.0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11.2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-7.1%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12.2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-97%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圈头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17.0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-9.7%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20.6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5.4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采蒲台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18.0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-26.8%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19.8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-6%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5.2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光淀张庄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16.3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-7.9%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16.2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-35%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枣林庄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7.3%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23.0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-51%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端村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16.7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12.5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-33.6%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21.7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鸪丁淀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-1.4%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22.8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15.1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-51%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3.7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南刘庄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19.0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17.6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-8.0%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20.5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14.6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-40%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4.6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湖心区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-12.9%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22.1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17.2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-28%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非湖心区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-7.1%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22.5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-48%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淀区整体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15.9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14.5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-9.7%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22.1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16.1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en-US" w:eastAsia="zh-CN"/>
              </w:rPr>
              <w:t>-37%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4.4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... ...</w:t>
            </w:r>
          </w:p>
        </w:tc>
      </w:tr>
    </w:tbl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保留位数、修约规则等按“白洋淀水质背景资料”显示；</w:t>
      </w:r>
    </w:p>
    <w:p>
      <w:pPr>
        <w:pStyle w:val="4"/>
        <w:bidi w:val="0"/>
      </w:pPr>
      <w:r>
        <w:rPr>
          <w:rFonts w:hint="eastAsia"/>
        </w:rPr>
        <w:t>白洋淀淀区水质改善和达标潜力分析</w:t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数据关联使用“数据管理-数据上报审核-数据手工上报”中的</w:t>
      </w:r>
      <w:r>
        <w:rPr>
          <w:rFonts w:hint="eastAsia"/>
          <w:b/>
          <w:bCs/>
          <w:lang w:val="en-US" w:eastAsia="zh-CN"/>
        </w:rPr>
        <w:t>《白洋淀淀区月数据表》</w:t>
      </w:r>
      <w:r>
        <w:rPr>
          <w:rFonts w:hint="eastAsia"/>
          <w:lang w:val="en-US" w:eastAsia="zh-CN"/>
        </w:rPr>
        <w:t>数据；</w:t>
      </w:r>
      <w:r>
        <w:rPr>
          <w:rFonts w:hint="eastAsia"/>
          <w:color w:val="FF0000"/>
          <w:lang w:val="en-US" w:eastAsia="zh-CN"/>
        </w:rPr>
        <w:t>（</w:t>
      </w:r>
      <w:r>
        <w:rPr>
          <w:rFonts w:hint="eastAsia"/>
          <w:color w:val="FF0000"/>
          <w:highlight w:val="none"/>
          <w:lang w:val="en-US" w:eastAsia="zh-CN"/>
        </w:rPr>
        <w:t>全部8个断面数据</w:t>
      </w:r>
      <w:r>
        <w:rPr>
          <w:rFonts w:hint="eastAsia"/>
          <w:color w:val="FF0000"/>
          <w:lang w:val="en-US" w:eastAsia="zh-CN"/>
        </w:rPr>
        <w:t>）</w:t>
      </w:r>
    </w:p>
    <w:p>
      <w:pPr>
        <w:pStyle w:val="4"/>
        <w:bidi w:val="0"/>
        <w:rPr>
          <w:rFonts w:hint="default"/>
          <w:lang w:val="en-US" w:eastAsia="zh-CN"/>
        </w:rPr>
      </w:pPr>
      <w:r>
        <w:t>河北省各月生态补偿金扣缴统计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断面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报表倒数第二列“合计”前增加“自动合计”“手工合计”两列；分别统计5类因子12个月的“自动”和“手工”合计。</w:t>
      </w:r>
    </w:p>
    <w:p>
      <w:pPr>
        <w:pStyle w:val="21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bidi w:val="0"/>
      </w:pPr>
      <w:r>
        <w:drawing>
          <wp:inline distT="0" distB="0" distL="114300" distR="114300">
            <wp:extent cx="5266690" cy="2293620"/>
            <wp:effectExtent l="0" t="0" r="10160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地市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报表倒数第二列“合计”前增加“自动合计”“手工合计”两列；分别统计5类因子12个月的“自动”和“手工”合计。</w:t>
      </w:r>
    </w:p>
    <w:p>
      <w:pPr>
        <w:pStyle w:val="21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93620"/>
            <wp:effectExtent l="0" t="0" r="10160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t>白洋淀流域考核断面生态补偿金扣缴统计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报表倒数第二列“合计”前增加“自动合计”“手工合计”两列；分别统计5类因子12个月的“自动”和“手工（上旬、中旬、下旬）”合计。</w:t>
      </w:r>
    </w:p>
    <w:p>
      <w:pPr>
        <w:pStyle w:val="21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93620"/>
            <wp:effectExtent l="0" t="0" r="10160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断面</w:t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当前的报表生成就是断面的；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区县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按区县统计，报表如下；</w:t>
      </w:r>
    </w:p>
    <w:tbl>
      <w:tblPr>
        <w:tblStyle w:val="17"/>
        <w:tblW w:w="0" w:type="auto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510"/>
        <w:gridCol w:w="510"/>
        <w:gridCol w:w="510"/>
        <w:gridCol w:w="493"/>
        <w:gridCol w:w="510"/>
        <w:gridCol w:w="486"/>
        <w:gridCol w:w="595"/>
        <w:gridCol w:w="510"/>
        <w:gridCol w:w="510"/>
        <w:gridCol w:w="510"/>
        <w:gridCol w:w="705"/>
        <w:gridCol w:w="608"/>
        <w:gridCol w:w="591"/>
        <w:gridCol w:w="5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区县名称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COD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氨氮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总磷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总氮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高锰酸盐指数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手工合计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自动站合计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COD合计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上旬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中旬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下旬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自动站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安新县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雄县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容城县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定兴县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510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易县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... ...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1"/>
              <w:bidi w:val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</w:tr>
    </w:tbl>
    <w:p>
      <w:pPr>
        <w:pStyle w:val="21"/>
        <w:bidi w:val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评价报告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整体调整</w:t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原有的横向显示的表名称信息，改为在左侧面板竖向显示；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5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白洋淀流域考核断面水质及生态补偿金扣缴情况的通报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5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全省主要河流跨界断面水质及生态补偿金扣缴情况的通报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5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白洋淀水质背景资料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5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白洋淀河流断面超标情况</w:t>
            </w:r>
          </w:p>
        </w:tc>
      </w:tr>
    </w:tbl>
    <w:p>
      <w:pPr>
        <w:pStyle w:val="21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白洋淀水质背景资料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查询条件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断面选择中，入淀口中的“北青”放到“流域河流断面”中；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断面选择，“入淀口断面（5）”改为“入淀口断面（4）”；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断面选择，“流域河流断面（48）”改为“流域河流断面（49）”；</w:t>
      </w:r>
    </w:p>
    <w:p>
      <w:pPr>
        <w:pStyle w:val="21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在“导出报告”前面增加“生成规则”按钮，点击显示弹窗，弹窗显示文字信息如下；</w:t>
      </w:r>
    </w:p>
    <w:p>
      <w:pPr>
        <w:pStyle w:val="21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7"/>
        <w:gridCol w:w="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pStyle w:val="15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报告生成规则</w:t>
            </w:r>
          </w:p>
        </w:tc>
        <w:tc>
          <w:tcPr>
            <w:tcW w:w="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pStyle w:val="15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lang w:val="en-US" w:eastAsia="zh-CN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single" w:color="auto" w:sz="4" w:space="0"/>
            </w:tcBorders>
          </w:tcPr>
          <w:p>
            <w:pPr>
              <w:pStyle w:val="15"/>
              <w:numPr>
                <w:ilvl w:val="0"/>
                <w:numId w:val="5"/>
              </w:numPr>
              <w:bidi w:val="0"/>
              <w:ind w:left="420" w:leftChars="0" w:hanging="420" w:firstLineChars="0"/>
              <w:rPr>
                <w:rFonts w:hint="default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整体规则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初审报告，当月使用导入的《采测分离断面初审数据表》数据，其他月份使用终审数据。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终审报告，全部数据使用导入的《白洋淀淀区月数据表》和《白洋淀河流月数据表》数据。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总磷因子，计算水质类别时，“淀区”使用湖库标准，“入淀口”和“流域河流断面”使用河流标准。</w:t>
            </w:r>
          </w:p>
          <w:p>
            <w:pPr>
              <w:pStyle w:val="15"/>
              <w:numPr>
                <w:ilvl w:val="0"/>
                <w:numId w:val="5"/>
              </w:numPr>
              <w:bidi w:val="0"/>
              <w:ind w:left="420" w:leftChars="0" w:hanging="420" w:firstLineChars="0"/>
              <w:rPr>
                <w:rFonts w:hint="default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计算规则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需要控制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，（水质目标限值*全年月份-累计均值*累计月份）/（全年月份-累计月份）=需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要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控制值，如COD需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要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控制值为（20*12-22*6）/（12-6）=18mg/L。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需削减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，（需要控制-去年均值）/去年均值*100%=需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削减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，如（16.2-16.5）/16.2*100%=-0.01851...(修约为-2%）。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同比削减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，（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去年同期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-当前数据）/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去年同期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*100%=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同比削减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，如（16.2-16.5）/16.2*100%=0.01851...(修约为1.9%）。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多点位累计均值的计算按总站先时间后空间的方法计算，如“</w:t>
            </w:r>
            <w:r>
              <w:rPr>
                <w:rFonts w:hint="default"/>
                <w:sz w:val="18"/>
                <w:szCs w:val="18"/>
                <w:highlight w:val="none"/>
                <w:vertAlign w:val="baseline"/>
                <w:lang w:val="en-US" w:eastAsia="zh-CN"/>
              </w:rPr>
              <w:t>8个点位</w:t>
            </w:r>
            <w:r>
              <w:rPr>
                <w:rFonts w:hint="eastAsia"/>
                <w:sz w:val="18"/>
                <w:szCs w:val="18"/>
                <w:highlight w:val="none"/>
                <w:vertAlign w:val="baseline"/>
                <w:lang w:val="en-US" w:eastAsia="zh-CN"/>
              </w:rPr>
              <w:t>累计</w:t>
            </w:r>
            <w:r>
              <w:rPr>
                <w:rFonts w:hint="default"/>
                <w:sz w:val="18"/>
                <w:szCs w:val="18"/>
                <w:highlight w:val="none"/>
                <w:vertAlign w:val="baseline"/>
                <w:lang w:val="en-US" w:eastAsia="zh-CN"/>
              </w:rPr>
              <w:t>均值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”</w:t>
            </w:r>
            <w:r>
              <w:rPr>
                <w:rFonts w:hint="eastAsia"/>
                <w:sz w:val="18"/>
                <w:szCs w:val="18"/>
                <w:highlight w:val="none"/>
                <w:vertAlign w:val="baseline"/>
                <w:lang w:val="en-US" w:eastAsia="zh-CN"/>
              </w:rPr>
              <w:t>，先计算各断面各因子的累计均值，小数点后保留10位，再计算</w:t>
            </w:r>
            <w:r>
              <w:rPr>
                <w:rFonts w:hint="default"/>
                <w:sz w:val="18"/>
                <w:szCs w:val="18"/>
                <w:highlight w:val="none"/>
                <w:vertAlign w:val="baseline"/>
                <w:lang w:val="en-US" w:eastAsia="zh-CN"/>
              </w:rPr>
              <w:t>8个点位</w:t>
            </w:r>
            <w:r>
              <w:rPr>
                <w:rFonts w:hint="eastAsia"/>
                <w:sz w:val="18"/>
                <w:szCs w:val="18"/>
                <w:highlight w:val="none"/>
                <w:vertAlign w:val="baseline"/>
                <w:lang w:val="en-US" w:eastAsia="zh-CN"/>
              </w:rPr>
              <w:t>的累计</w:t>
            </w:r>
            <w:r>
              <w:rPr>
                <w:rFonts w:hint="default"/>
                <w:sz w:val="18"/>
                <w:szCs w:val="18"/>
                <w:highlight w:val="none"/>
                <w:vertAlign w:val="baseline"/>
                <w:lang w:val="en-US" w:eastAsia="zh-CN"/>
              </w:rPr>
              <w:t>均值</w:t>
            </w:r>
            <w:r>
              <w:rPr>
                <w:rFonts w:hint="eastAsia"/>
                <w:sz w:val="18"/>
                <w:szCs w:val="18"/>
                <w:highlight w:val="none"/>
                <w:vertAlign w:val="baseline"/>
                <w:lang w:val="en-US" w:eastAsia="zh-CN"/>
              </w:rPr>
              <w:t>。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highlight w:val="none"/>
                <w:vertAlign w:val="baseline"/>
                <w:lang w:val="en-US" w:eastAsia="zh-CN"/>
              </w:rPr>
              <w:t>达标潜力分析</w:t>
            </w:r>
            <w:r>
              <w:rPr>
                <w:rFonts w:hint="eastAsia"/>
                <w:sz w:val="18"/>
                <w:szCs w:val="18"/>
                <w:highlight w:val="none"/>
                <w:vertAlign w:val="baseline"/>
                <w:lang w:val="en-US" w:eastAsia="zh-CN"/>
              </w:rPr>
              <w:t>（年度达标风险），“空间足够”、“有一定压力”、“空间不足”的判定按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需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削减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进行判断，在小于等于-10%情况下为“空间足够”，在介于-10%至0%情况下，为“有一定压力”，在大于0%情况下，为“空间不足”。</w:t>
            </w:r>
          </w:p>
          <w:p>
            <w:pPr>
              <w:pStyle w:val="15"/>
              <w:numPr>
                <w:ilvl w:val="0"/>
                <w:numId w:val="5"/>
              </w:numPr>
              <w:bidi w:val="0"/>
              <w:ind w:left="420" w:leftChars="0" w:hanging="420" w:firstLineChars="0"/>
              <w:rPr>
                <w:rFonts w:hint="default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百分比及超标倍数修约规则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同比削减百分比，小数点后保留1位小数，如49.4%，需修约的按“四舍五入”进行修约，如“49.35%”修约后为“49.4%”。又如“0%”应显示“0.0%”；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需削减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百分比，取整数，小数点后不保留小数，如49%。需修约的按“四舍五入”进行修约，如“49.45%”修约后为“49%”。</w:t>
            </w:r>
          </w:p>
          <w:p>
            <w:pPr>
              <w:numPr>
                <w:ilvl w:val="0"/>
                <w:numId w:val="6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超标倍数，小数点后保留2位小数，如0.49，需修约的按“四舍五入”进行修约，如“0.4945”修约后为“0.49”。又如“0.001”应显示“0.001”,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保留一位有效数字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；</w:t>
            </w:r>
          </w:p>
          <w:p>
            <w:pPr>
              <w:pStyle w:val="15"/>
              <w:numPr>
                <w:ilvl w:val="0"/>
                <w:numId w:val="5"/>
              </w:numPr>
              <w:bidi w:val="0"/>
              <w:ind w:left="420" w:leftChars="0" w:hanging="420" w:firstLineChars="0"/>
              <w:rPr>
                <w:rFonts w:hint="default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监测因子修约规则</w:t>
            </w:r>
          </w:p>
          <w:p>
            <w:pPr>
              <w:numPr>
                <w:ilvl w:val="0"/>
                <w:numId w:val="7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计算因子水质情况时，均值、累计值的计算过程不修约，按修约后的数据计算水质类别。</w:t>
            </w:r>
          </w:p>
          <w:p>
            <w:pPr>
              <w:numPr>
                <w:ilvl w:val="0"/>
                <w:numId w:val="7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进行数据计算时，进舍规则执行GB/T8170-2008数值修约规则，拟舍数据按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“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四舍六入五成双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”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修约。最终修约的有效位数不超过3位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当修约后结果为0时，保留一位有效数字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。</w:t>
            </w:r>
          </w:p>
          <w:p>
            <w:pPr>
              <w:numPr>
                <w:ilvl w:val="0"/>
                <w:numId w:val="7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未检出的项目，浓度值取检出限的1/2进行评价，如0.05L，取值0.025进行计算。</w:t>
            </w:r>
          </w:p>
          <w:p>
            <w:pPr>
              <w:numPr>
                <w:ilvl w:val="0"/>
                <w:numId w:val="7"/>
              </w:numPr>
              <w:bidi w:val="0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各因子根据关于印发《国家地表水环境质量监测数据修约处理规则（试行）》的通知（总站水字[2018]87号）中，表 2监测项目评价时保留小数位数。</w:t>
            </w:r>
          </w:p>
        </w:tc>
      </w:tr>
    </w:tbl>
    <w:p>
      <w:pPr>
        <w:pStyle w:val="4"/>
        <w:bidi w:val="0"/>
      </w:pPr>
      <w:r>
        <w:rPr>
          <w:rFonts w:hint="eastAsia"/>
          <w:lang w:val="en-US" w:eastAsia="zh-CN"/>
        </w:rPr>
        <w:t>白洋淀上游河流断面超标情况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在“白洋淀水质背景资料”下增加“白洋淀上游河流断面超标情况”，内容如下；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3992"/>
        <w:gridCol w:w="1639"/>
        <w:gridCol w:w="1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eastAsia" w:eastAsia="仿宋_GB2312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数据时间：</w:t>
            </w:r>
          </w:p>
        </w:tc>
        <w:tc>
          <w:tcPr>
            <w:tcW w:w="3992" w:type="dxa"/>
          </w:tcPr>
          <w:p>
            <w:pPr>
              <w:pStyle w:val="12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2023年4月</w:t>
            </w:r>
          </w:p>
        </w:tc>
        <w:tc>
          <w:tcPr>
            <w:tcW w:w="1639" w:type="dxa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eastAsia" w:eastAsia="仿宋_GB2312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 2" w:char="0099"/>
            </w:r>
            <w:r>
              <w:rPr>
                <w:rFonts w:hint="eastAsia"/>
                <w:lang w:val="en-US" w:eastAsia="zh-CN"/>
              </w:rPr>
              <w:t>初审</w:t>
            </w:r>
          </w:p>
        </w:tc>
        <w:tc>
          <w:tcPr>
            <w:tcW w:w="1451" w:type="dxa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eastAsia" w:eastAsia="仿宋_GB231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◉</w:t>
            </w:r>
            <w:r>
              <w:rPr>
                <w:rFonts w:hint="eastAsia"/>
                <w:lang w:val="en-US" w:eastAsia="zh-CN"/>
              </w:rPr>
              <w:t>终审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pStyle w:val="12"/>
              <w:numPr>
                <w:ilvl w:val="0"/>
                <w:numId w:val="0"/>
              </w:numPr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因子选择：</w:t>
            </w:r>
          </w:p>
        </w:tc>
        <w:tc>
          <w:tcPr>
            <w:tcW w:w="3992" w:type="dxa"/>
            <w:vAlign w:val="top"/>
          </w:tcPr>
          <w:p>
            <w:pPr>
              <w:pStyle w:val="12"/>
              <w:numPr>
                <w:ilvl w:val="0"/>
                <w:numId w:val="0"/>
              </w:numPr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FF"/>
              </w:rPr>
              <w:t>化学需氧量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高锰酸盐指数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氨氮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总磷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总氮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溶解氧</w:t>
            </w:r>
            <w:r>
              <w:rPr>
                <w:rFonts w:hint="eastAsia"/>
                <w:color w:val="0000FF"/>
                <w:lang w:eastAsia="zh-CN"/>
              </w:rPr>
              <w:t>、</w:t>
            </w:r>
            <w:r>
              <w:rPr>
                <w:rFonts w:hint="eastAsia"/>
                <w:color w:val="0000FF"/>
              </w:rPr>
              <w:t>生化需氧量</w:t>
            </w:r>
          </w:p>
        </w:tc>
        <w:tc>
          <w:tcPr>
            <w:tcW w:w="1639" w:type="dxa"/>
            <w:shd w:val="clear" w:color="auto" w:fill="auto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451" w:type="dxa"/>
            <w:shd w:val="clear" w:color="auto" w:fill="00B0F0"/>
            <w:vAlign w:val="center"/>
          </w:tcPr>
          <w:p>
            <w:pPr>
              <w:pStyle w:val="21"/>
              <w:bidi w:val="0"/>
              <w:ind w:firstLine="0" w:firstLineChars="0"/>
              <w:jc w:val="center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导出报告</w:t>
            </w:r>
          </w:p>
        </w:tc>
      </w:tr>
    </w:tbl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查询条件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数据时间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显示“年月”；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“初审”“终审”两个选择按钮，默认选中终审；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因子选择：包括24项因子，默认勾选“化学需氧量、高锰酸盐指数、氨氮、总磷、总氮、溶解氧、生化需氧量”7类因子；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导出报告按钮，点击下载报告；</w:t>
      </w:r>
    </w:p>
    <w:p>
      <w:pPr>
        <w:pStyle w:val="5"/>
        <w:bidi w:val="0"/>
      </w:pPr>
      <w:r>
        <w:rPr>
          <w:rFonts w:hint="eastAsia"/>
          <w:lang w:val="en-US" w:eastAsia="zh-CN"/>
        </w:rPr>
        <w:t>报表列表</w:t>
      </w:r>
    </w:p>
    <w:p>
      <w:pPr>
        <w:pStyle w:val="12"/>
        <w:bidi w:val="0"/>
      </w:pPr>
      <w:r>
        <w:rPr>
          <w:rFonts w:hint="eastAsia"/>
          <w:lang w:val="en-US" w:eastAsia="zh-CN"/>
        </w:rPr>
        <w:t>详细报告内容参考《白洋淀上游河流断面超标情况-模板》；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20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E752DA8C"/>
    <w:multiLevelType w:val="singleLevel"/>
    <w:tmpl w:val="E752DA8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1F14E60B"/>
    <w:multiLevelType w:val="multilevel"/>
    <w:tmpl w:val="1F14E60B"/>
    <w:lvl w:ilvl="0" w:tentative="0">
      <w:start w:val="1"/>
      <w:numFmt w:val="decimal"/>
      <w:pStyle w:val="22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4">
    <w:nsid w:val="4D2F17A7"/>
    <w:multiLevelType w:val="singleLevel"/>
    <w:tmpl w:val="4D2F17A7"/>
    <w:lvl w:ilvl="0" w:tentative="0">
      <w:start w:val="1"/>
      <w:numFmt w:val="decimal"/>
      <w:pStyle w:val="12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69823DEB"/>
    <w:multiLevelType w:val="singleLevel"/>
    <w:tmpl w:val="69823DE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786CA256"/>
    <w:multiLevelType w:val="singleLevel"/>
    <w:tmpl w:val="786CA25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53D707B3"/>
    <w:rsid w:val="00434697"/>
    <w:rsid w:val="00EF1351"/>
    <w:rsid w:val="01B54127"/>
    <w:rsid w:val="05400A0F"/>
    <w:rsid w:val="0F3D334A"/>
    <w:rsid w:val="1194785B"/>
    <w:rsid w:val="12385E1A"/>
    <w:rsid w:val="153220D4"/>
    <w:rsid w:val="1571436E"/>
    <w:rsid w:val="15F32D77"/>
    <w:rsid w:val="17C63C83"/>
    <w:rsid w:val="185E4787"/>
    <w:rsid w:val="1B1647BF"/>
    <w:rsid w:val="1B8B4AFE"/>
    <w:rsid w:val="200B3309"/>
    <w:rsid w:val="2010022D"/>
    <w:rsid w:val="20E37BB8"/>
    <w:rsid w:val="21C66644"/>
    <w:rsid w:val="22C20B70"/>
    <w:rsid w:val="2830587D"/>
    <w:rsid w:val="2E1B62A8"/>
    <w:rsid w:val="2EC04FA7"/>
    <w:rsid w:val="309F12AB"/>
    <w:rsid w:val="33CF2B46"/>
    <w:rsid w:val="353C06AF"/>
    <w:rsid w:val="3540003F"/>
    <w:rsid w:val="392C4AB3"/>
    <w:rsid w:val="3C686080"/>
    <w:rsid w:val="40555465"/>
    <w:rsid w:val="4763600E"/>
    <w:rsid w:val="4E152F6F"/>
    <w:rsid w:val="52324668"/>
    <w:rsid w:val="534862D0"/>
    <w:rsid w:val="53D707B3"/>
    <w:rsid w:val="544D6769"/>
    <w:rsid w:val="54897167"/>
    <w:rsid w:val="578F2F08"/>
    <w:rsid w:val="579F0990"/>
    <w:rsid w:val="58F07115"/>
    <w:rsid w:val="5AC13672"/>
    <w:rsid w:val="5D591684"/>
    <w:rsid w:val="5FA11B46"/>
    <w:rsid w:val="63E43F41"/>
    <w:rsid w:val="692769A5"/>
    <w:rsid w:val="69E65728"/>
    <w:rsid w:val="6B445CF6"/>
    <w:rsid w:val="6C40706B"/>
    <w:rsid w:val="6DC14204"/>
    <w:rsid w:val="6EC048E7"/>
    <w:rsid w:val="6FA8783E"/>
    <w:rsid w:val="6FC32E89"/>
    <w:rsid w:val="707A41EE"/>
    <w:rsid w:val="740B1954"/>
    <w:rsid w:val="76782777"/>
    <w:rsid w:val="7C827DFF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List 2"/>
    <w:basedOn w:val="1"/>
    <w:link w:val="25"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List"/>
    <w:basedOn w:val="1"/>
    <w:link w:val="24"/>
    <w:qFormat/>
    <w:uiPriority w:val="0"/>
    <w:pPr>
      <w:spacing w:line="240" w:lineRule="auto"/>
      <w:ind w:left="0" w:hanging="200" w:hangingChars="200"/>
    </w:pPr>
    <w:rPr>
      <w:rFonts w:asciiTheme="minorAscii" w:hAnsiTheme="minorAscii"/>
    </w:rPr>
  </w:style>
  <w:style w:type="paragraph" w:styleId="16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0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21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22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23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  <w:style w:type="character" w:customStyle="1" w:styleId="24">
    <w:name w:val="列表 Char"/>
    <w:link w:val="15"/>
    <w:qFormat/>
    <w:uiPriority w:val="0"/>
    <w:rPr>
      <w:rFonts w:asciiTheme="minorAscii" w:hAnsiTheme="minorAscii"/>
    </w:rPr>
  </w:style>
  <w:style w:type="character" w:customStyle="1" w:styleId="25">
    <w:name w:val="列表 2 Char"/>
    <w:link w:val="12"/>
    <w:qFormat/>
    <w:uiPriority w:val="0"/>
    <w:rPr>
      <w:rFonts w:asciiTheme="minorAscii" w:hAnsiTheme="minorAscii"/>
    </w:rPr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4027</Words>
  <Characters>5271</Characters>
  <Lines>0</Lines>
  <Paragraphs>0</Paragraphs>
  <TotalTime>0</TotalTime>
  <ScaleCrop>false</ScaleCrop>
  <LinksUpToDate>false</LinksUpToDate>
  <CharactersWithSpaces>5362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2023-07-03T03:43:00Z</dcterms:created>
  <dc:creator>郭宇飞</dc:creator>
  <cp:lastModifiedBy>郭宇飞</cp:lastModifiedBy>
  <dcterms:modified xsi:type="dcterms:W3CDTF">2023-07-11T08:56:06Z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37F6F35015F24A7F9FA698CCBA13B1BB_11</vt:lpwstr>
  </property>
</Properties>
</file>