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rPr>
          <w:rFonts w:hint="eastAsia"/>
        </w:rPr>
      </w:pPr>
    </w:p>
    <w:p>
      <w:pPr>
        <w:rPr>
          <w:rFonts w:hint="default" w:eastAsiaTheme="minor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红色字体暂不修改</w:t>
      </w:r>
    </w:p>
    <w:p>
      <w:pPr>
        <w:pStyle w:val="15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增加扩展污染物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G102、G106-2、N101-2、J101-3、J101-4、N１０１－4、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污染物产生量、</w:t>
      </w:r>
      <w:bookmarkStart w:id="0" w:name="_GoBack"/>
      <w:bookmarkEnd w:id="0"/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排放量，除现在已经列出的种类，还需支持用户自由添加其他污染物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以G102表为例：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6643370" cy="2331085"/>
            <wp:effectExtent l="0" t="0" r="12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最下面一行（即G102表总汞排放量）下面增加表格内容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点击”添加污染物“按钮，自动添加两行，第一行产生量、第二行排放量。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320"/>
        <w:gridCol w:w="3432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highlight w:val="none"/>
                <w:lang w:val="en-US" w:eastAsia="zh-CN"/>
              </w:rPr>
              <w:t>【增加污染物】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highlight w:val="none"/>
                <w:lang w:val="en-US" w:eastAsia="zh-CN"/>
              </w:rPr>
              <w:t>【删除】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_______________产生量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25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highlight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______________排放量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70C0"/>
                <w:highlight w:val="none"/>
                <w:lang w:val="en-US" w:eastAsia="zh-CN"/>
              </w:rPr>
              <w:t>【删除】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_______________产生量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ind w:firstLine="840" w:firstLineChars="4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70C0"/>
                <w:highlight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______________排放量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highlight w:val="none"/>
                <w:lang w:val="en-US" w:eastAsia="zh-CN"/>
              </w:rPr>
              <w:t>（文本框）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5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  <w:t>名单底册建立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</w:rPr>
      </w:pPr>
      <w:r>
        <w:rPr>
          <w:rFonts w:hint="eastAsia"/>
          <w:lang w:val="en-US" w:eastAsia="zh-CN"/>
        </w:rPr>
        <w:t>填报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工业企业、集中式、规模养殖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年份查询，只可查询2017年、2022年及以后的报表（综合查询、名单管理、统计报表等相关页面一并修改）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新建报表，只可新建、2022年及以后的报表。新建报表2022年默认2017年，2023年及以后年份默认上一年。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3210" cy="2178050"/>
            <wp:effectExtent l="0" t="0" r="1143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规模水产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年份查询，只可查询2022年及以后的报表（综合查询、名单管理、统计报表等相关页面一并修改）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新建报表，只可新建2022年及以后的报表。2023年及以后年份默认上一年。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drawing>
          <wp:inline distT="0" distB="0" distL="114300" distR="114300">
            <wp:extent cx="6638925" cy="2372995"/>
            <wp:effectExtent l="0" t="0" r="57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工业企业、集中式、规模养殖、规模水产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新建报表后，左侧菜单报表同以前不太一样，应显示现在保留的所有报表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</w:rPr>
      </w:pPr>
      <w:r>
        <w:rPr>
          <w:rFonts w:hint="eastAsia"/>
          <w:lang w:val="en-US" w:eastAsia="zh-CN"/>
        </w:rPr>
        <w:t>名单管理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工业园、规模畜禽、集中式污水，去掉名录来源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5115" cy="308483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  <w:t>工业企业</w:t>
      </w:r>
    </w:p>
    <w:p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5" w:hanging="425"/>
        <w:textAlignment w:val="auto"/>
        <w:rPr>
          <w:rFonts w:ascii="微软雅黑" w:hAnsi="微软雅黑" w:eastAsia="微软雅黑" w:cstheme="minorEastAsia"/>
          <w:color w:val="000000" w:themeColor="text1"/>
          <w:szCs w:val="21"/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</w:rPr>
        <w:t>G101-1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指标11以下，增加指标12、12、14</w:t>
      </w:r>
    </w:p>
    <w:tbl>
      <w:tblPr>
        <w:tblStyle w:val="11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28"/>
        <w:gridCol w:w="68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所在工业园区名称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工业废水</w:t>
            </w:r>
          </w:p>
        </w:tc>
        <w:tc>
          <w:tcPr>
            <w:tcW w:w="212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废水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排放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去向  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本厂回用□2直接排入外环境□3排入集中式污水处理厂□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其他□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8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</w:p>
        </w:tc>
        <w:tc>
          <w:tcPr>
            <w:tcW w:w="212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>外排废水是否涉及本次重点调查污染物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重金属□2总磷□3氟化物□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氯化物□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8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</w:p>
        </w:tc>
        <w:tc>
          <w:tcPr>
            <w:tcW w:w="212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>所排入污水处理厂类型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工业园区污水处理厂□2城镇污水处理厂□3其他□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8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</w:p>
        </w:tc>
        <w:tc>
          <w:tcPr>
            <w:tcW w:w="212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排入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集中式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污水处理厂/企业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_________________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18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" w:bidi="ar-SA"/>
              </w:rPr>
              <w:t>间接冷却水</w:t>
            </w:r>
          </w:p>
        </w:tc>
        <w:tc>
          <w:tcPr>
            <w:tcW w:w="212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" w:bidi="ar-SA"/>
              </w:rPr>
              <w:t>排水去向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本厂回用□2排入外环境□3排入厂区污水处理设施□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其他□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18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" w:bidi="ar-SA"/>
              </w:rPr>
            </w:pPr>
          </w:p>
        </w:tc>
        <w:tc>
          <w:tcPr>
            <w:tcW w:w="212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>外排废水是否涉及本次重点调查污染物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重金属□2总磷□3氟化物□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氯化物□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雨排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水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是否雨污分流：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是□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2否□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270" w:leftChars="0" w:hanging="270" w:hangingChars="150"/>
              <w:rPr>
                <w:rFonts w:hint="eastAsia" w:ascii="宋体" w:hAnsi="宋体" w:eastAsia="宋体"/>
                <w:bCs/>
                <w:color w:val="00000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val="en-US" w:eastAsia="zh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.受纳水体</w:t>
            </w:r>
          </w:p>
        </w:tc>
        <w:tc>
          <w:tcPr>
            <w:tcW w:w="68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受纳水体名称：                        受纳水体代码：</w:t>
            </w:r>
          </w:p>
        </w:tc>
      </w:tr>
    </w:tbl>
    <w:p>
      <w:pPr>
        <w:widowControl/>
        <w:ind w:left="-142"/>
        <w:jc w:val="left"/>
      </w:pPr>
    </w:p>
    <w:p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5" w:hanging="425"/>
        <w:textAlignment w:val="auto"/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</w:rPr>
        <w:t>G102</w:t>
      </w:r>
    </w:p>
    <w:p>
      <w:pPr>
        <w:pStyle w:val="15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425" w:hanging="567" w:firstLineChars="0"/>
        <w:jc w:val="left"/>
        <w:textAlignment w:val="auto"/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去掉加盖封闭情况？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-142" w:leftChars="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966460" cy="2725420"/>
            <wp:effectExtent l="0" t="0" r="7620" b="2540"/>
            <wp:docPr id="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425" w:hanging="567" w:firstLineChars="0"/>
        <w:jc w:val="left"/>
        <w:textAlignment w:val="auto"/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增加“是否雨污分流”，单选，是、否；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-142" w:leftChars="0"/>
        <w:jc w:val="left"/>
        <w:textAlignment w:val="auto"/>
        <w:rPr>
          <w:rFonts w:hint="default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废水总排放口类型，选择“4|雨水排放口”时，必填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-142" w:leftChars="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966460" cy="1017905"/>
            <wp:effectExtent l="0" t="0" r="7620" b="3175"/>
            <wp:docPr id="3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425" w:hanging="567" w:firstLineChars="0"/>
        <w:jc w:val="left"/>
        <w:textAlignment w:val="auto"/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增加“所排入污水处理厂类型”，自动带出。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-142" w:leftChars="0"/>
        <w:jc w:val="left"/>
        <w:textAlignment w:val="auto"/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排入污水处理厂/企业名称，选择的为工业企业时，显示为“工业企业”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-142" w:leftChars="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选择“集中式污水处理厂”时，显示该企业J101-1指标09的类型。</w:t>
      </w:r>
    </w:p>
    <w:p>
      <w:pPr>
        <w:pStyle w:val="15"/>
        <w:widowControl/>
        <w:numPr>
          <w:ilvl w:val="0"/>
          <w:numId w:val="0"/>
        </w:numPr>
        <w:jc w:val="left"/>
        <w:rPr>
          <w:rFonts w:hint="eastAsia"/>
          <w:lang w:val="en-US" w:eastAsia="zh"/>
        </w:rPr>
      </w:pPr>
      <w:r>
        <w:drawing>
          <wp:inline distT="0" distB="0" distL="114300" distR="114300">
            <wp:extent cx="5968365" cy="1089660"/>
            <wp:effectExtent l="0" t="0" r="5715" b="7620"/>
            <wp:docPr id="3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ascii="微软雅黑" w:hAnsi="微软雅黑" w:eastAsia="微软雅黑" w:cstheme="minorEastAsia"/>
          <w:color w:val="000000" w:themeColor="text1"/>
          <w:szCs w:val="21"/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</w:rPr>
        <w:t>G106-2</w:t>
      </w:r>
    </w:p>
    <w:p>
      <w:pPr>
        <w:pStyle w:val="15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425" w:hanging="567" w:firstLineChars="0"/>
        <w:jc w:val="left"/>
        <w:textAlignment w:val="auto"/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增加PH，进口浓度？出口浓度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4005" cy="765810"/>
            <wp:effectExtent l="0" t="0" r="635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"/>
        </w:rPr>
      </w:pPr>
    </w:p>
    <w:p>
      <w:pPr>
        <w:pStyle w:val="15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  <w:t>集中式</w:t>
      </w:r>
    </w:p>
    <w:p>
      <w:pPr>
        <w:pStyle w:val="4"/>
        <w:numPr>
          <w:ilvl w:val="0"/>
          <w:numId w:val="2"/>
        </w:numPr>
        <w:spacing w:line="412" w:lineRule="auto"/>
        <w:rPr>
          <w:rFonts w:ascii="微软雅黑" w:hAnsi="微软雅黑" w:eastAsia="微软雅黑" w:cstheme="minorEastAsia"/>
          <w:color w:val="000000" w:themeColor="text1"/>
          <w:szCs w:val="21"/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</w:rPr>
        <w:t>J101-1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增加”温度“</w:t>
      </w:r>
    </w:p>
    <w:p>
      <w:r>
        <w:drawing>
          <wp:inline distT="0" distB="0" distL="114300" distR="114300">
            <wp:extent cx="6641465" cy="779780"/>
            <wp:effectExtent l="0" t="0" r="3175" b="12700"/>
            <wp:docPr id="3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color w:val="FF0000"/>
        </w:rPr>
      </w:pPr>
      <w:r>
        <w:rPr>
          <w:rFonts w:hint="eastAsia"/>
          <w:color w:val="FF0000"/>
          <w:lang w:eastAsia="zh-CN"/>
        </w:rPr>
        <w:t>？？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color w:val="FF0000"/>
        </w:rPr>
      </w:pPr>
      <w:r>
        <w:drawing>
          <wp:inline distT="0" distB="0" distL="114300" distR="114300">
            <wp:extent cx="6638290" cy="2901315"/>
            <wp:effectExtent l="0" t="0" r="6350" b="9525"/>
            <wp:docPr id="4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增加以下11、12、13、14、15</w:t>
      </w:r>
    </w:p>
    <w:tbl>
      <w:tblPr>
        <w:tblStyle w:val="11"/>
        <w:tblW w:w="0" w:type="auto"/>
        <w:tblInd w:w="1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71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一期工程建成投运时间：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□□□□年□□月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二期工程建成投运时间：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□□□□年□□月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green"/>
                <w:lang w:val="en-US" w:eastAsia="zh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前端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污水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工程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一期工程投资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         万元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二期工程投资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         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green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green"/>
                <w:lang w:val="en-US" w:eastAsia="zh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green"/>
                <w:lang w:eastAsia="zh"/>
              </w:rPr>
              <w:t>提标改造工程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一期改造工程建成投运时间：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□□□□年□□月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一期改造工程投资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         万元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二期改造工程建成投运时间：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□□□□年□□月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二期改造工程投资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         万元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三期改造工程建成投运时间：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□□□□年□□月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二期改造工程投资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         万元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eastAsia="zh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"/>
              </w:rPr>
              <w:t>13.2022年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eastAsia="zh"/>
              </w:rPr>
              <w:t>实际污水处理成本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 xml:space="preserve">                          元/立方米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前端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污水处理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主要工艺单元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名称：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代码：□□□□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7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名称： 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代码：□□□□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7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名称：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代码：□□□□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" w:bidi="ar-SA"/>
              </w:rPr>
              <w:t>15.提标改深度造工程主要工艺单元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名称：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代码：□□□□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名称：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代码：□□□□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名称：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代码：□□□□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.有无再生水处理工艺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 有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无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再生水处理方法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名称：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代码：□□□□</w:t>
            </w:r>
          </w:p>
        </w:tc>
      </w:tr>
    </w:tbl>
    <w:p>
      <w:pPr>
        <w:rPr>
          <w:rFonts w:hint="default"/>
          <w:lang w:val="en-US"/>
        </w:rPr>
      </w:pP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指标11、12，做成可添加、删除的，数字类型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指标13，数字类型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指标14、15，为原报表指标11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去掉原报表指标11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drawing>
          <wp:inline distT="0" distB="0" distL="114300" distR="114300">
            <wp:extent cx="5967730" cy="1815465"/>
            <wp:effectExtent l="0" t="0" r="6350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default" w:ascii="微软雅黑" w:hAnsi="微软雅黑" w:eastAsia="微软雅黑"/>
          <w:bCs/>
          <w:color w:val="FF0000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1"/>
          <w:lang w:val="en-US" w:eastAsia="zh-CN"/>
        </w:rPr>
        <w:t>增加以下19？？</w:t>
      </w:r>
    </w:p>
    <w:tbl>
      <w:tblPr>
        <w:tblStyle w:val="11"/>
        <w:tblW w:w="0" w:type="auto"/>
        <w:tblInd w:w="1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71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.排水去向类型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总排口</w:t>
            </w:r>
          </w:p>
        </w:tc>
        <w:tc>
          <w:tcPr>
            <w:tcW w:w="7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编号：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地理位置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经度：_______度_______分___________秒   纬度：_______度_______分___________秒</w:t>
            </w:r>
          </w:p>
        </w:tc>
      </w:tr>
    </w:tbl>
    <w:p>
      <w:pPr>
        <w:pStyle w:val="4"/>
        <w:numPr>
          <w:ilvl w:val="0"/>
          <w:numId w:val="2"/>
        </w:numPr>
        <w:spacing w:line="412" w:lineRule="auto"/>
        <w:rPr>
          <w:rFonts w:ascii="微软雅黑" w:hAnsi="微软雅黑" w:eastAsia="微软雅黑" w:cstheme="minorEastAsia"/>
          <w:color w:val="auto"/>
          <w:szCs w:val="21"/>
        </w:rPr>
      </w:pPr>
      <w:r>
        <w:rPr>
          <w:rFonts w:hint="eastAsia" w:ascii="微软雅黑" w:hAnsi="微软雅黑" w:eastAsia="微软雅黑" w:cstheme="minorEastAsia"/>
          <w:color w:val="auto"/>
          <w:szCs w:val="21"/>
          <w:lang w:val="en-US" w:eastAsia="zh-CN"/>
        </w:rPr>
        <w:t>J101-4</w:t>
      </w:r>
    </w:p>
    <w:p>
      <w:pPr>
        <w:pStyle w:val="15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left="425" w:hanging="567" w:firstLineChars="0"/>
        <w:jc w:val="left"/>
        <w:textAlignment w:val="auto"/>
        <w:rPr>
          <w:color w:val="auto"/>
        </w:r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增加黄色背景指标</w:t>
      </w:r>
    </w:p>
    <w:tbl>
      <w:tblPr>
        <w:tblStyle w:val="11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1323"/>
        <w:gridCol w:w="878"/>
        <w:gridCol w:w="1383"/>
        <w:gridCol w:w="1026"/>
        <w:gridCol w:w="11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氰化物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排放量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氯化物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来水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产生量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氯化物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排放量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氟化物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来水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产生量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氟化物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排放量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来水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产生量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排放量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来水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产生量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"/>
              </w:rPr>
              <w:t>年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outlineLvl w:val="0"/>
        <w:rPr>
          <w:rFonts w:ascii="微软雅黑" w:hAnsi="微软雅黑" w:eastAsia="微软雅黑" w:cs="Times New Roman"/>
          <w:b/>
          <w:bCs/>
          <w:sz w:val="32"/>
          <w:szCs w:val="21"/>
        </w:rPr>
      </w:pPr>
      <w:r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  <w:t>规模化畜禽养殖</w:t>
      </w:r>
    </w:p>
    <w:p>
      <w:pPr>
        <w:pStyle w:val="4"/>
        <w:numPr>
          <w:ilvl w:val="0"/>
          <w:numId w:val="2"/>
        </w:numPr>
        <w:spacing w:line="412" w:lineRule="auto"/>
        <w:rPr>
          <w:rFonts w:ascii="微软雅黑" w:hAnsi="微软雅黑" w:eastAsia="微软雅黑" w:cstheme="minorEastAsia"/>
          <w:color w:val="000000" w:themeColor="text1"/>
          <w:szCs w:val="21"/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</w:rPr>
        <w:t>N101-1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color w:val="FF0000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1"/>
          <w:lang w:val="en-US" w:eastAsia="zh-CN"/>
        </w:rPr>
        <w:t>去掉？？。</w:t>
      </w:r>
    </w:p>
    <w:p>
      <w:r>
        <w:drawing>
          <wp:inline distT="0" distB="0" distL="114300" distR="114300">
            <wp:extent cx="6639560" cy="2909570"/>
            <wp:effectExtent l="0" t="0" r="5080" b="1270"/>
            <wp:docPr id="3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eastAsia="zh-CN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1621D8"/>
    <w:rsid w:val="012D192E"/>
    <w:rsid w:val="019529B5"/>
    <w:rsid w:val="01EB39D0"/>
    <w:rsid w:val="02010A8C"/>
    <w:rsid w:val="02076F1B"/>
    <w:rsid w:val="020B757A"/>
    <w:rsid w:val="0231567C"/>
    <w:rsid w:val="02CB4EE2"/>
    <w:rsid w:val="02D97807"/>
    <w:rsid w:val="03655A7A"/>
    <w:rsid w:val="03B0392B"/>
    <w:rsid w:val="03BF253E"/>
    <w:rsid w:val="03DA4300"/>
    <w:rsid w:val="03F44885"/>
    <w:rsid w:val="03FF4016"/>
    <w:rsid w:val="04036DAA"/>
    <w:rsid w:val="040E6340"/>
    <w:rsid w:val="04155568"/>
    <w:rsid w:val="044F0CC1"/>
    <w:rsid w:val="048E4EE6"/>
    <w:rsid w:val="04FE4B9E"/>
    <w:rsid w:val="050576AD"/>
    <w:rsid w:val="050D469A"/>
    <w:rsid w:val="0515181D"/>
    <w:rsid w:val="05294D64"/>
    <w:rsid w:val="058142AF"/>
    <w:rsid w:val="05F256A2"/>
    <w:rsid w:val="061211BE"/>
    <w:rsid w:val="064F7E3A"/>
    <w:rsid w:val="066B5C96"/>
    <w:rsid w:val="0677676E"/>
    <w:rsid w:val="06817BA6"/>
    <w:rsid w:val="06B42C12"/>
    <w:rsid w:val="071E0F8F"/>
    <w:rsid w:val="077566D6"/>
    <w:rsid w:val="08970058"/>
    <w:rsid w:val="08CC4A1B"/>
    <w:rsid w:val="08D14C0C"/>
    <w:rsid w:val="08E1449B"/>
    <w:rsid w:val="09553FFB"/>
    <w:rsid w:val="097F4FC5"/>
    <w:rsid w:val="09AA6BA2"/>
    <w:rsid w:val="09D93C30"/>
    <w:rsid w:val="09EB65C7"/>
    <w:rsid w:val="0A5D1DCF"/>
    <w:rsid w:val="0A6506AD"/>
    <w:rsid w:val="0A6F75BD"/>
    <w:rsid w:val="0A8B6612"/>
    <w:rsid w:val="0AB102CC"/>
    <w:rsid w:val="0ABE7054"/>
    <w:rsid w:val="0ABF0394"/>
    <w:rsid w:val="0AD94639"/>
    <w:rsid w:val="0B4F1CC5"/>
    <w:rsid w:val="0C1734E1"/>
    <w:rsid w:val="0D1F07B3"/>
    <w:rsid w:val="0D3C1697"/>
    <w:rsid w:val="0DA111E6"/>
    <w:rsid w:val="0DA80BAD"/>
    <w:rsid w:val="0DB253C7"/>
    <w:rsid w:val="0DD35D8B"/>
    <w:rsid w:val="0DE04889"/>
    <w:rsid w:val="0DED5987"/>
    <w:rsid w:val="0E17302F"/>
    <w:rsid w:val="0E750F80"/>
    <w:rsid w:val="0E773F6E"/>
    <w:rsid w:val="0E8B6762"/>
    <w:rsid w:val="0EA10B77"/>
    <w:rsid w:val="0EAF0988"/>
    <w:rsid w:val="0F437A18"/>
    <w:rsid w:val="0F53554E"/>
    <w:rsid w:val="0F955B67"/>
    <w:rsid w:val="0FA97864"/>
    <w:rsid w:val="101569FA"/>
    <w:rsid w:val="105A786B"/>
    <w:rsid w:val="10696727"/>
    <w:rsid w:val="106D6BE8"/>
    <w:rsid w:val="10901B2A"/>
    <w:rsid w:val="10A641ED"/>
    <w:rsid w:val="10CF32FA"/>
    <w:rsid w:val="112B6A46"/>
    <w:rsid w:val="11C65FEE"/>
    <w:rsid w:val="11E00329"/>
    <w:rsid w:val="11E40FF3"/>
    <w:rsid w:val="11EA104A"/>
    <w:rsid w:val="123C49C0"/>
    <w:rsid w:val="12A61E39"/>
    <w:rsid w:val="12D23331"/>
    <w:rsid w:val="12DC03E1"/>
    <w:rsid w:val="131B2827"/>
    <w:rsid w:val="131C510B"/>
    <w:rsid w:val="135F66B6"/>
    <w:rsid w:val="13AB626E"/>
    <w:rsid w:val="13BE3B38"/>
    <w:rsid w:val="13EC42F0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5D60C87"/>
    <w:rsid w:val="16050ACA"/>
    <w:rsid w:val="162D4E60"/>
    <w:rsid w:val="16A74377"/>
    <w:rsid w:val="16D82219"/>
    <w:rsid w:val="1716324D"/>
    <w:rsid w:val="17781E1A"/>
    <w:rsid w:val="18012112"/>
    <w:rsid w:val="18345169"/>
    <w:rsid w:val="18D06E6E"/>
    <w:rsid w:val="197E170F"/>
    <w:rsid w:val="19E63EE2"/>
    <w:rsid w:val="1A435AA1"/>
    <w:rsid w:val="1A6A3ACC"/>
    <w:rsid w:val="1A892C42"/>
    <w:rsid w:val="1A975578"/>
    <w:rsid w:val="1B0248EA"/>
    <w:rsid w:val="1B1301CD"/>
    <w:rsid w:val="1C5662B4"/>
    <w:rsid w:val="1CBD6E48"/>
    <w:rsid w:val="1CDA2E0B"/>
    <w:rsid w:val="1CE75BC2"/>
    <w:rsid w:val="1E3173A3"/>
    <w:rsid w:val="1E326CB4"/>
    <w:rsid w:val="1E516FF1"/>
    <w:rsid w:val="1E525538"/>
    <w:rsid w:val="1EE43830"/>
    <w:rsid w:val="1F607F6A"/>
    <w:rsid w:val="1FAA65AA"/>
    <w:rsid w:val="1FBC14ED"/>
    <w:rsid w:val="1FD77A55"/>
    <w:rsid w:val="20176DFC"/>
    <w:rsid w:val="207226F6"/>
    <w:rsid w:val="20B4194E"/>
    <w:rsid w:val="20EA375E"/>
    <w:rsid w:val="20FC2382"/>
    <w:rsid w:val="213A6DE5"/>
    <w:rsid w:val="214D2237"/>
    <w:rsid w:val="217B0F40"/>
    <w:rsid w:val="21CC6EAF"/>
    <w:rsid w:val="22A12387"/>
    <w:rsid w:val="22C57EBB"/>
    <w:rsid w:val="231D7778"/>
    <w:rsid w:val="23482EEF"/>
    <w:rsid w:val="23711036"/>
    <w:rsid w:val="23C028B7"/>
    <w:rsid w:val="23D3110A"/>
    <w:rsid w:val="23E26A49"/>
    <w:rsid w:val="23FC3316"/>
    <w:rsid w:val="245E2667"/>
    <w:rsid w:val="249E58E3"/>
    <w:rsid w:val="24CF3471"/>
    <w:rsid w:val="24EA7358"/>
    <w:rsid w:val="25BA7C7E"/>
    <w:rsid w:val="25CC0F1B"/>
    <w:rsid w:val="25CD4C8D"/>
    <w:rsid w:val="25E15CB8"/>
    <w:rsid w:val="25FB0BCE"/>
    <w:rsid w:val="260A429C"/>
    <w:rsid w:val="262632D3"/>
    <w:rsid w:val="26385E8A"/>
    <w:rsid w:val="267F0D8D"/>
    <w:rsid w:val="26A633F3"/>
    <w:rsid w:val="27083FF7"/>
    <w:rsid w:val="271870C2"/>
    <w:rsid w:val="27974EA1"/>
    <w:rsid w:val="27B52D9B"/>
    <w:rsid w:val="283E1ABA"/>
    <w:rsid w:val="29104DBC"/>
    <w:rsid w:val="29503844"/>
    <w:rsid w:val="29605648"/>
    <w:rsid w:val="29C84C30"/>
    <w:rsid w:val="29CC0D95"/>
    <w:rsid w:val="29DF1E75"/>
    <w:rsid w:val="2A824904"/>
    <w:rsid w:val="2ABE3D6C"/>
    <w:rsid w:val="2B2B5BD2"/>
    <w:rsid w:val="2B7A308E"/>
    <w:rsid w:val="2B7C6998"/>
    <w:rsid w:val="2C466ABC"/>
    <w:rsid w:val="2C8132A3"/>
    <w:rsid w:val="2CCA7B2C"/>
    <w:rsid w:val="2CCC4CA1"/>
    <w:rsid w:val="2CCE2164"/>
    <w:rsid w:val="2D2C0E66"/>
    <w:rsid w:val="2D5204FD"/>
    <w:rsid w:val="2E913C85"/>
    <w:rsid w:val="2E97337B"/>
    <w:rsid w:val="2E98722B"/>
    <w:rsid w:val="2EAE5EA6"/>
    <w:rsid w:val="2ECD1096"/>
    <w:rsid w:val="2F152D51"/>
    <w:rsid w:val="2F2909A6"/>
    <w:rsid w:val="2F940B9B"/>
    <w:rsid w:val="2FD0737B"/>
    <w:rsid w:val="303C0F55"/>
    <w:rsid w:val="30C95B7C"/>
    <w:rsid w:val="30FA1876"/>
    <w:rsid w:val="31476AD2"/>
    <w:rsid w:val="31570A76"/>
    <w:rsid w:val="319B4E07"/>
    <w:rsid w:val="31AB318C"/>
    <w:rsid w:val="32572880"/>
    <w:rsid w:val="325D20BC"/>
    <w:rsid w:val="325D7DDA"/>
    <w:rsid w:val="3298142A"/>
    <w:rsid w:val="32D2756B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3D61D5"/>
    <w:rsid w:val="354B26A0"/>
    <w:rsid w:val="358E2E9F"/>
    <w:rsid w:val="35977A61"/>
    <w:rsid w:val="35F57F1B"/>
    <w:rsid w:val="36337952"/>
    <w:rsid w:val="364E28A2"/>
    <w:rsid w:val="36703C2F"/>
    <w:rsid w:val="36A06A1C"/>
    <w:rsid w:val="36AA39B8"/>
    <w:rsid w:val="370451FC"/>
    <w:rsid w:val="372D2D0F"/>
    <w:rsid w:val="378A5CC4"/>
    <w:rsid w:val="379C41AA"/>
    <w:rsid w:val="37EB6F48"/>
    <w:rsid w:val="37F559B9"/>
    <w:rsid w:val="38046C10"/>
    <w:rsid w:val="38263ED7"/>
    <w:rsid w:val="385050C5"/>
    <w:rsid w:val="38596FFD"/>
    <w:rsid w:val="38D6668F"/>
    <w:rsid w:val="391946FF"/>
    <w:rsid w:val="392777CA"/>
    <w:rsid w:val="39DD1AB2"/>
    <w:rsid w:val="3A322CAE"/>
    <w:rsid w:val="3AAD6350"/>
    <w:rsid w:val="3B014914"/>
    <w:rsid w:val="3B123C66"/>
    <w:rsid w:val="3B1E415D"/>
    <w:rsid w:val="3B5F3BB4"/>
    <w:rsid w:val="3B6D4250"/>
    <w:rsid w:val="3B777BEB"/>
    <w:rsid w:val="3BAD39CD"/>
    <w:rsid w:val="3BC8750B"/>
    <w:rsid w:val="3BC977FE"/>
    <w:rsid w:val="3C2F31F1"/>
    <w:rsid w:val="3C4D35C1"/>
    <w:rsid w:val="3C8115BE"/>
    <w:rsid w:val="3CE750D2"/>
    <w:rsid w:val="3CEC374F"/>
    <w:rsid w:val="3D133DE3"/>
    <w:rsid w:val="3D4B75B6"/>
    <w:rsid w:val="3DBA7B3D"/>
    <w:rsid w:val="3E5C0B71"/>
    <w:rsid w:val="3EE4105F"/>
    <w:rsid w:val="3F311645"/>
    <w:rsid w:val="3F346B36"/>
    <w:rsid w:val="3F492A10"/>
    <w:rsid w:val="3F573A09"/>
    <w:rsid w:val="3F836A16"/>
    <w:rsid w:val="3F8526D6"/>
    <w:rsid w:val="3F904AF1"/>
    <w:rsid w:val="3FA563F6"/>
    <w:rsid w:val="3FE034BE"/>
    <w:rsid w:val="3FE9256C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28C271A"/>
    <w:rsid w:val="42CB31F5"/>
    <w:rsid w:val="4344505E"/>
    <w:rsid w:val="43662251"/>
    <w:rsid w:val="43C21DD2"/>
    <w:rsid w:val="43C37972"/>
    <w:rsid w:val="43CA1850"/>
    <w:rsid w:val="441D0CE7"/>
    <w:rsid w:val="445A005D"/>
    <w:rsid w:val="4465104C"/>
    <w:rsid w:val="44A43B7B"/>
    <w:rsid w:val="44C3308A"/>
    <w:rsid w:val="44C97C06"/>
    <w:rsid w:val="44D11975"/>
    <w:rsid w:val="44D5570A"/>
    <w:rsid w:val="44EE3FA4"/>
    <w:rsid w:val="44FD59C0"/>
    <w:rsid w:val="452930DF"/>
    <w:rsid w:val="45446C5B"/>
    <w:rsid w:val="459C0C74"/>
    <w:rsid w:val="464919D5"/>
    <w:rsid w:val="469E6827"/>
    <w:rsid w:val="46A85D30"/>
    <w:rsid w:val="47252FD3"/>
    <w:rsid w:val="4811294A"/>
    <w:rsid w:val="484F2050"/>
    <w:rsid w:val="4850571A"/>
    <w:rsid w:val="48557A9E"/>
    <w:rsid w:val="48A203D1"/>
    <w:rsid w:val="48AD7360"/>
    <w:rsid w:val="48B6275D"/>
    <w:rsid w:val="48C22BFF"/>
    <w:rsid w:val="49533EEC"/>
    <w:rsid w:val="49542082"/>
    <w:rsid w:val="4966285E"/>
    <w:rsid w:val="498B5F16"/>
    <w:rsid w:val="4A2E22E6"/>
    <w:rsid w:val="4A61647A"/>
    <w:rsid w:val="4A7E61E2"/>
    <w:rsid w:val="4A897A9B"/>
    <w:rsid w:val="4A914BA1"/>
    <w:rsid w:val="4A9A4055"/>
    <w:rsid w:val="4AF95E58"/>
    <w:rsid w:val="4AFD1B3E"/>
    <w:rsid w:val="4AFD7D37"/>
    <w:rsid w:val="4B0042F9"/>
    <w:rsid w:val="4B3258E7"/>
    <w:rsid w:val="4BB43B87"/>
    <w:rsid w:val="4BB676D3"/>
    <w:rsid w:val="4C393BE8"/>
    <w:rsid w:val="4C6A7458"/>
    <w:rsid w:val="4C832055"/>
    <w:rsid w:val="4C9A2F3C"/>
    <w:rsid w:val="4C9F5C9F"/>
    <w:rsid w:val="4CAA4209"/>
    <w:rsid w:val="4CCE4E4A"/>
    <w:rsid w:val="4CD97644"/>
    <w:rsid w:val="4CFD63FA"/>
    <w:rsid w:val="4D1869E5"/>
    <w:rsid w:val="4D82127E"/>
    <w:rsid w:val="4DD0587C"/>
    <w:rsid w:val="4EB90223"/>
    <w:rsid w:val="4F9B724B"/>
    <w:rsid w:val="4FA76180"/>
    <w:rsid w:val="4FB71DC9"/>
    <w:rsid w:val="501545CD"/>
    <w:rsid w:val="507A4DB7"/>
    <w:rsid w:val="50EA5C44"/>
    <w:rsid w:val="511107AA"/>
    <w:rsid w:val="51D34212"/>
    <w:rsid w:val="52214A37"/>
    <w:rsid w:val="523B3B33"/>
    <w:rsid w:val="527B7B57"/>
    <w:rsid w:val="528467AB"/>
    <w:rsid w:val="52A50716"/>
    <w:rsid w:val="52D70010"/>
    <w:rsid w:val="52DB58B2"/>
    <w:rsid w:val="535624E4"/>
    <w:rsid w:val="53A82043"/>
    <w:rsid w:val="540C7047"/>
    <w:rsid w:val="54205954"/>
    <w:rsid w:val="54293A98"/>
    <w:rsid w:val="543211F5"/>
    <w:rsid w:val="54507658"/>
    <w:rsid w:val="549C56B4"/>
    <w:rsid w:val="54CB7828"/>
    <w:rsid w:val="54DB4AA8"/>
    <w:rsid w:val="56BB2A83"/>
    <w:rsid w:val="56BF62D6"/>
    <w:rsid w:val="57462286"/>
    <w:rsid w:val="574852CC"/>
    <w:rsid w:val="578355A4"/>
    <w:rsid w:val="57890D34"/>
    <w:rsid w:val="578B23F3"/>
    <w:rsid w:val="57C44ABC"/>
    <w:rsid w:val="58964729"/>
    <w:rsid w:val="58A41775"/>
    <w:rsid w:val="58FA014F"/>
    <w:rsid w:val="599E1A63"/>
    <w:rsid w:val="5AB64A8C"/>
    <w:rsid w:val="5AC73FC9"/>
    <w:rsid w:val="5B185030"/>
    <w:rsid w:val="5B466B83"/>
    <w:rsid w:val="5B800982"/>
    <w:rsid w:val="5B831509"/>
    <w:rsid w:val="5C8B6098"/>
    <w:rsid w:val="5C8F1D6F"/>
    <w:rsid w:val="5CB31F99"/>
    <w:rsid w:val="5CC17D2C"/>
    <w:rsid w:val="5CDA7251"/>
    <w:rsid w:val="5D21272C"/>
    <w:rsid w:val="5D2D5717"/>
    <w:rsid w:val="5DA64824"/>
    <w:rsid w:val="5E453881"/>
    <w:rsid w:val="5ED74A1A"/>
    <w:rsid w:val="5F233D8C"/>
    <w:rsid w:val="5F271ED3"/>
    <w:rsid w:val="5FB66D94"/>
    <w:rsid w:val="606C09EB"/>
    <w:rsid w:val="611F3116"/>
    <w:rsid w:val="612B201F"/>
    <w:rsid w:val="617C580C"/>
    <w:rsid w:val="61996A6D"/>
    <w:rsid w:val="61F47A98"/>
    <w:rsid w:val="62252124"/>
    <w:rsid w:val="622A34BA"/>
    <w:rsid w:val="6266385B"/>
    <w:rsid w:val="627060A2"/>
    <w:rsid w:val="62B50778"/>
    <w:rsid w:val="62C95953"/>
    <w:rsid w:val="6347021E"/>
    <w:rsid w:val="6359301B"/>
    <w:rsid w:val="63594AEE"/>
    <w:rsid w:val="638927DF"/>
    <w:rsid w:val="63C33BC6"/>
    <w:rsid w:val="63FA7017"/>
    <w:rsid w:val="640840D5"/>
    <w:rsid w:val="641D05B5"/>
    <w:rsid w:val="64367104"/>
    <w:rsid w:val="6449740E"/>
    <w:rsid w:val="6462454E"/>
    <w:rsid w:val="64960891"/>
    <w:rsid w:val="64A5748B"/>
    <w:rsid w:val="64D65427"/>
    <w:rsid w:val="64EA7AD8"/>
    <w:rsid w:val="6534261F"/>
    <w:rsid w:val="65DB79FF"/>
    <w:rsid w:val="65E25116"/>
    <w:rsid w:val="66751AF0"/>
    <w:rsid w:val="66B917EE"/>
    <w:rsid w:val="672C4669"/>
    <w:rsid w:val="67535736"/>
    <w:rsid w:val="67E32D3D"/>
    <w:rsid w:val="67F83A5F"/>
    <w:rsid w:val="68305F32"/>
    <w:rsid w:val="6871721C"/>
    <w:rsid w:val="68B25168"/>
    <w:rsid w:val="68DE5892"/>
    <w:rsid w:val="68F24D38"/>
    <w:rsid w:val="690E4698"/>
    <w:rsid w:val="69345A98"/>
    <w:rsid w:val="6939281C"/>
    <w:rsid w:val="6965127B"/>
    <w:rsid w:val="699C31E4"/>
    <w:rsid w:val="69F6008F"/>
    <w:rsid w:val="6A650D56"/>
    <w:rsid w:val="6A664CF8"/>
    <w:rsid w:val="6A8F59EF"/>
    <w:rsid w:val="6AA32469"/>
    <w:rsid w:val="6AB90596"/>
    <w:rsid w:val="6AEB5785"/>
    <w:rsid w:val="6B8D3809"/>
    <w:rsid w:val="6B9320D0"/>
    <w:rsid w:val="6BB42AEE"/>
    <w:rsid w:val="6BB97D35"/>
    <w:rsid w:val="6BDF7FA5"/>
    <w:rsid w:val="6BE06E2A"/>
    <w:rsid w:val="6BEC328F"/>
    <w:rsid w:val="6C032026"/>
    <w:rsid w:val="6C4D6F6B"/>
    <w:rsid w:val="6C90660F"/>
    <w:rsid w:val="6CDE58EB"/>
    <w:rsid w:val="6D6668C3"/>
    <w:rsid w:val="6D992019"/>
    <w:rsid w:val="6E9F307A"/>
    <w:rsid w:val="6EFE2C7D"/>
    <w:rsid w:val="6F5D06EB"/>
    <w:rsid w:val="6F9A2528"/>
    <w:rsid w:val="70190690"/>
    <w:rsid w:val="704C3FA2"/>
    <w:rsid w:val="7084521C"/>
    <w:rsid w:val="71365C5D"/>
    <w:rsid w:val="715751CF"/>
    <w:rsid w:val="718C1A9B"/>
    <w:rsid w:val="72235160"/>
    <w:rsid w:val="72401A34"/>
    <w:rsid w:val="725974A3"/>
    <w:rsid w:val="725A2022"/>
    <w:rsid w:val="72CA214F"/>
    <w:rsid w:val="73B9300A"/>
    <w:rsid w:val="742F5F50"/>
    <w:rsid w:val="74A569D0"/>
    <w:rsid w:val="74B071AE"/>
    <w:rsid w:val="74E52D9D"/>
    <w:rsid w:val="74E73D3E"/>
    <w:rsid w:val="750D03A6"/>
    <w:rsid w:val="751B31CD"/>
    <w:rsid w:val="751E6781"/>
    <w:rsid w:val="75913BF6"/>
    <w:rsid w:val="75A2747D"/>
    <w:rsid w:val="75C44A49"/>
    <w:rsid w:val="75CF154D"/>
    <w:rsid w:val="76091E73"/>
    <w:rsid w:val="76246A75"/>
    <w:rsid w:val="765F38DD"/>
    <w:rsid w:val="76CF20EA"/>
    <w:rsid w:val="77146E23"/>
    <w:rsid w:val="772A28CF"/>
    <w:rsid w:val="77BF5266"/>
    <w:rsid w:val="780103C1"/>
    <w:rsid w:val="78201875"/>
    <w:rsid w:val="7827149A"/>
    <w:rsid w:val="78435188"/>
    <w:rsid w:val="78977EC3"/>
    <w:rsid w:val="789B3E8B"/>
    <w:rsid w:val="78CF6711"/>
    <w:rsid w:val="78F711B4"/>
    <w:rsid w:val="79917748"/>
    <w:rsid w:val="79982FA7"/>
    <w:rsid w:val="79BC316C"/>
    <w:rsid w:val="7A24483B"/>
    <w:rsid w:val="7AA84A7A"/>
    <w:rsid w:val="7B786F13"/>
    <w:rsid w:val="7B890A38"/>
    <w:rsid w:val="7C9B5FB4"/>
    <w:rsid w:val="7CD14183"/>
    <w:rsid w:val="7CD70F77"/>
    <w:rsid w:val="7CD90635"/>
    <w:rsid w:val="7D0A560D"/>
    <w:rsid w:val="7D153895"/>
    <w:rsid w:val="7D7D153A"/>
    <w:rsid w:val="7DA41A84"/>
    <w:rsid w:val="7E061496"/>
    <w:rsid w:val="7E180234"/>
    <w:rsid w:val="7E4931A9"/>
    <w:rsid w:val="7EAA063E"/>
    <w:rsid w:val="7EE74E37"/>
    <w:rsid w:val="7EFB4492"/>
    <w:rsid w:val="7F0A046A"/>
    <w:rsid w:val="7F104BF4"/>
    <w:rsid w:val="7F7E5BAF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标题 3 字符"/>
    <w:basedOn w:val="13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0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1">
    <w:name w:val="标题 2 字符"/>
    <w:basedOn w:val="13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c01174"/>
    <w:basedOn w:val="13"/>
    <w:qFormat/>
    <w:uiPriority w:val="0"/>
  </w:style>
  <w:style w:type="character" w:customStyle="1" w:styleId="23">
    <w:name w:val="c01175"/>
    <w:basedOn w:val="13"/>
    <w:qFormat/>
    <w:uiPriority w:val="0"/>
  </w:style>
  <w:style w:type="character" w:customStyle="1" w:styleId="24">
    <w:name w:val="!正文 Char"/>
    <w:link w:val="25"/>
    <w:qFormat/>
    <w:uiPriority w:val="0"/>
    <w:rPr>
      <w:rFonts w:eastAsia="仿宋"/>
      <w:kern w:val="2"/>
      <w:sz w:val="28"/>
      <w:szCs w:val="28"/>
    </w:rPr>
  </w:style>
  <w:style w:type="paragraph" w:customStyle="1" w:styleId="25">
    <w:name w:val="!正文"/>
    <w:basedOn w:val="1"/>
    <w:link w:val="24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1385</Words>
  <Characters>1651</Characters>
  <Lines>137</Lines>
  <Paragraphs>149</Paragraphs>
  <TotalTime>1</TotalTime>
  <ScaleCrop>false</ScaleCrop>
  <LinksUpToDate>false</LinksUpToDate>
  <CharactersWithSpaces>2070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nanfc</cp:lastModifiedBy>
  <dcterms:modified xsi:type="dcterms:W3CDTF">2023-04-15T06:16:57Z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8E98B755B2E643398D7B75A0B637A743</vt:lpwstr>
  </property>
</Properties>
</file>