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调度监管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监测报警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自动监测超标报警信息</w:t>
      </w:r>
    </w:p>
    <w:p>
      <w:pPr>
        <w:pStyle w:val="17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“国控水质自动监测”及“白洋淀及上游流域”以断面为准，根据“小时”超标数据，按水质监测站点所在地市，自动发送超标信息给地市账号；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发送信息，以excel形式发送，发送文件的表头信息参照导出的excel文件标头；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备注信息“国控水质自动监测”或“白洋淀及上游流域”；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反馈时限，默认选择5日；</w:t>
      </w:r>
      <w:bookmarkStart w:id="0" w:name="_GoBack"/>
      <w:bookmarkEnd w:id="0"/>
    </w:p>
    <w:p>
      <w:pPr>
        <w:pStyle w:val="4"/>
        <w:bidi w:val="0"/>
      </w:pPr>
      <w:r>
        <w:rPr>
          <w:rFonts w:hint="eastAsia"/>
        </w:rPr>
        <w:t>涉水污染源在线监测超标报警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以企业为准，根据“小时”超标数据，按企业所在地市，自动发送超标信息给地市账号；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发送信息，以excel形式发送，发送文件的表头信息参照导出的excel文件标头；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备注信息“</w:t>
      </w:r>
      <w:r>
        <w:rPr>
          <w:rFonts w:hint="eastAsia"/>
        </w:rPr>
        <w:t>涉水污染源在线监测超标报警</w:t>
      </w:r>
      <w:r>
        <w:rPr>
          <w:rFonts w:hint="eastAsia"/>
          <w:lang w:val="en-US" w:eastAsia="zh-CN"/>
        </w:rPr>
        <w:t>”；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反馈时限，默认选择5日；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任务管理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任务发送管理</w:t>
      </w:r>
    </w:p>
    <w:p>
      <w:pPr>
        <w:pStyle w:val="17"/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自动发送给地市的信息，可在此列表中查询展示，如</w:t>
      </w:r>
      <w:r>
        <w:rPr>
          <w:rFonts w:hint="eastAsia"/>
        </w:rPr>
        <w:t>监测报警</w:t>
      </w:r>
      <w:r>
        <w:rPr>
          <w:rFonts w:hint="eastAsia"/>
          <w:lang w:val="en-US" w:eastAsia="zh-CN"/>
        </w:rPr>
        <w:t>中“</w:t>
      </w:r>
      <w:r>
        <w:rPr>
          <w:rFonts w:hint="eastAsia"/>
        </w:rPr>
        <w:t>涉水污染源在线监测超标报警</w:t>
      </w:r>
      <w:r>
        <w:rPr>
          <w:rFonts w:hint="eastAsia"/>
          <w:lang w:val="en-US" w:eastAsia="zh-CN"/>
        </w:rPr>
        <w:t>”信息；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查询条件中增加“任务类型”，包括“自动任务”和“手动任务”；如“</w:t>
      </w:r>
      <w:r>
        <w:rPr>
          <w:rFonts w:hint="eastAsia"/>
        </w:rPr>
        <w:t>涉水污染源在线监测超标报警</w:t>
      </w:r>
      <w:r>
        <w:rPr>
          <w:rFonts w:hint="eastAsia"/>
          <w:lang w:val="en-US" w:eastAsia="zh-CN"/>
        </w:rPr>
        <w:t>”的自动发送信息属于“自动任务”；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任务反馈管理</w:t>
      </w:r>
    </w:p>
    <w:p>
      <w:pPr>
        <w:pStyle w:val="17"/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查询条件中增加“任务类型”，包括“自动任务”和“手动任务”；如“</w:t>
      </w:r>
      <w:r>
        <w:rPr>
          <w:rFonts w:hint="eastAsia"/>
        </w:rPr>
        <w:t>涉水污染源在线监测超标报警</w:t>
      </w:r>
      <w:r>
        <w:rPr>
          <w:rFonts w:hint="eastAsia"/>
          <w:lang w:val="en-US" w:eastAsia="zh-CN"/>
        </w:rPr>
        <w:t>”的自动发送信息属于“自动任务”；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SansHans-Regular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89605"/>
    <w:multiLevelType w:val="multilevel"/>
    <w:tmpl w:val="AB789605"/>
    <w:lvl w:ilvl="0" w:tentative="0">
      <w:start w:val="1"/>
      <w:numFmt w:val="decimal"/>
      <w:pStyle w:val="16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14E60B"/>
    <w:multiLevelType w:val="multilevel"/>
    <w:tmpl w:val="1F14E60B"/>
    <w:lvl w:ilvl="0" w:tentative="0">
      <w:start w:val="1"/>
      <w:numFmt w:val="decimal"/>
      <w:pStyle w:val="18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FA52F9"/>
    <w:multiLevelType w:val="multilevel"/>
    <w:tmpl w:val="3BFA52F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6CFB4DEC"/>
    <w:rsid w:val="00EF1351"/>
    <w:rsid w:val="01B54127"/>
    <w:rsid w:val="05400A0F"/>
    <w:rsid w:val="0F3D334A"/>
    <w:rsid w:val="153220D4"/>
    <w:rsid w:val="1571436E"/>
    <w:rsid w:val="15F32D77"/>
    <w:rsid w:val="17C63C83"/>
    <w:rsid w:val="185E4787"/>
    <w:rsid w:val="1B8B4AFE"/>
    <w:rsid w:val="200B3309"/>
    <w:rsid w:val="2010022D"/>
    <w:rsid w:val="22C20B70"/>
    <w:rsid w:val="2830587D"/>
    <w:rsid w:val="2E1B62A8"/>
    <w:rsid w:val="2EC04FA7"/>
    <w:rsid w:val="3540003F"/>
    <w:rsid w:val="3C686080"/>
    <w:rsid w:val="4E152F6F"/>
    <w:rsid w:val="52324668"/>
    <w:rsid w:val="54897167"/>
    <w:rsid w:val="58F07115"/>
    <w:rsid w:val="5AC13672"/>
    <w:rsid w:val="5D591684"/>
    <w:rsid w:val="6B445CF6"/>
    <w:rsid w:val="6C40706B"/>
    <w:rsid w:val="6CFB4DEC"/>
    <w:rsid w:val="6FA8783E"/>
    <w:rsid w:val="6FC32E89"/>
    <w:rsid w:val="707A41EE"/>
    <w:rsid w:val="740B1954"/>
    <w:rsid w:val="7C444D20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楷体_GB2312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customStyle="1" w:styleId="16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7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8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19">
    <w:name w:val="小标题"/>
    <w:basedOn w:val="1"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167</Characters>
  <Lines>0</Lines>
  <Paragraphs>0</Paragraphs>
  <TotalTime>0</TotalTime>
  <ScaleCrop>false</ScaleCrop>
  <LinksUpToDate>false</LinksUpToDate>
  <CharactersWithSpaces>167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2023-04-06T00:38:00Z</dcterms:created>
  <dc:creator>郭宇飞</dc:creator>
  <cp:lastModifiedBy>郭宇飞</cp:lastModifiedBy>
  <dcterms:modified xsi:type="dcterms:W3CDTF">2023-04-06T03:03:31Z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C1F2FC9457884F4AB65AFA185768C632</vt:lpwstr>
  </property>
</Properties>
</file>