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污染源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涉水污染源数据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去掉“主要污染物及超标倍数”列；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污水处理厂数据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页面使用“涉水污染源数据”模块的查询条件和列表数据，企业信息只需要使用“</w:t>
      </w: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ol_dic_ps_type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企业类型字典表</w:t>
      </w:r>
      <w:r>
        <w:rPr>
          <w:rFonts w:cs="Arial" w:eastAsiaTheme="minorEastAsia"/>
          <w:szCs w:val="21"/>
        </w:rPr>
        <w:t>)</w:t>
      </w:r>
      <w:r>
        <w:rPr>
          <w:rFonts w:hint="eastAsia"/>
          <w:lang w:val="en-US" w:eastAsia="zh-CN"/>
        </w:rPr>
        <w:t>”中的“</w:t>
      </w:r>
      <w:r>
        <w:drawing>
          <wp:inline distT="0" distB="0" distL="114300" distR="114300">
            <wp:extent cx="2794635" cy="194310"/>
            <wp:effectExtent l="0" t="0" r="571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</w:pPr>
      <w:r>
        <w:drawing>
          <wp:inline distT="0" distB="0" distL="114300" distR="114300">
            <wp:extent cx="5270500" cy="2654300"/>
            <wp:effectExtent l="0" t="0" r="63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监测报警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涉水污染源在线监测超标报警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在“自动监测超标报警分析”下增加“涉水污染源在线监测超标报警”；</w:t>
      </w:r>
    </w:p>
    <w:p>
      <w:pPr>
        <w:pStyle w:val="18"/>
        <w:bidi w:val="0"/>
        <w:jc w:val="left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数据使用《《污染源自动监控系统V4.0》数据库设计说明书》中①</w:t>
      </w: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data</w:t>
      </w:r>
      <w:r>
        <w:rPr>
          <w:rFonts w:cs="Arial" w:eastAsiaTheme="minorEastAsia"/>
          <w:szCs w:val="21"/>
        </w:rPr>
        <w:t>_</w:t>
      </w:r>
      <w:r>
        <w:rPr>
          <w:rFonts w:hint="eastAsia" w:cs="Arial" w:eastAsiaTheme="minorEastAsia"/>
          <w:szCs w:val="21"/>
        </w:rPr>
        <w:t>alarm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超标数据</w:t>
      </w:r>
      <w:r>
        <w:rPr>
          <w:rFonts w:cs="Arial" w:eastAsiaTheme="minorEastAsia"/>
          <w:szCs w:val="21"/>
        </w:rPr>
        <w:t>表)</w:t>
      </w:r>
      <w:r>
        <w:rPr>
          <w:rFonts w:hint="eastAsia"/>
          <w:lang w:val="en-US" w:eastAsia="zh-CN"/>
        </w:rPr>
        <w:t>；②</w:t>
      </w:r>
      <w:r>
        <w:t>表名：ol_dic_disposal_true_type (</w:t>
      </w:r>
      <w:r>
        <w:rPr>
          <w:rFonts w:hint="eastAsia"/>
        </w:rPr>
        <w:t>超标</w:t>
      </w:r>
      <w:r>
        <w:t>/</w:t>
      </w:r>
      <w:r>
        <w:rPr>
          <w:rFonts w:hint="eastAsia"/>
        </w:rPr>
        <w:t>异常处置单是否属实原因分类数据字典</w:t>
      </w:r>
      <w:r>
        <w:t>表)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③</w:t>
      </w:r>
      <w:r>
        <w:rPr>
          <w:rFonts w:cs="Arial" w:eastAsiaTheme="minorEastAsia"/>
          <w:szCs w:val="21"/>
        </w:rPr>
        <w:t>表名：ol_</w:t>
      </w:r>
      <w:r>
        <w:rPr>
          <w:rFonts w:hint="eastAsia" w:cs="Arial" w:eastAsiaTheme="minorEastAsia"/>
          <w:szCs w:val="21"/>
        </w:rPr>
        <w:t>disposal</w:t>
      </w:r>
      <w:r>
        <w:rPr>
          <w:rFonts w:cs="Arial" w:eastAsiaTheme="minorEastAsia"/>
          <w:szCs w:val="21"/>
        </w:rPr>
        <w:t>_al</w:t>
      </w:r>
      <w:r>
        <w:rPr>
          <w:rFonts w:hint="eastAsia" w:cs="Arial" w:eastAsiaTheme="minorEastAsia"/>
          <w:szCs w:val="21"/>
        </w:rPr>
        <w:t>arm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超标处置单信息</w:t>
      </w:r>
      <w:r>
        <w:rPr>
          <w:rFonts w:cs="Arial" w:eastAsiaTheme="minorEastAsia"/>
          <w:szCs w:val="21"/>
        </w:rPr>
        <w:t>表)</w:t>
      </w:r>
      <w:r>
        <w:rPr>
          <w:rFonts w:hint="eastAsia"/>
          <w:lang w:val="en-US" w:eastAsia="zh-CN"/>
        </w:rPr>
        <w:t>数据；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污染源名称：</w:t>
            </w:r>
          </w:p>
        </w:tc>
        <w:tc>
          <w:tcPr>
            <w:tcW w:w="2130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污染源类型：</w:t>
            </w:r>
          </w:p>
        </w:tc>
        <w:tc>
          <w:tcPr>
            <w:tcW w:w="2131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超标时间：</w:t>
            </w:r>
          </w:p>
        </w:tc>
        <w:tc>
          <w:tcPr>
            <w:tcW w:w="2130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污染物名称：</w:t>
            </w:r>
          </w:p>
        </w:tc>
        <w:tc>
          <w:tcPr>
            <w:tcW w:w="2131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1"/>
        <w:bidi w:val="0"/>
      </w:pPr>
      <w:r>
        <w:rPr>
          <w:rFonts w:hint="eastAsia"/>
          <w:lang w:val="en-US" w:eastAsia="zh-CN"/>
        </w:rPr>
        <w:t>污染源名称，支持模糊搜索的下拉选择框；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污染源类型，下拉框，包括“涉水污染源、污水处理厂”默认显示“污水处理厂”；“涉水污染源”里包括全部涉水污染源；使用“</w:t>
      </w:r>
      <w:r>
        <w:rPr>
          <w:rFonts w:cs="Arial" w:eastAsiaTheme="minorEastAsia"/>
          <w:szCs w:val="21"/>
        </w:rPr>
        <w:t>表名：</w:t>
      </w:r>
      <w:r>
        <w:rPr>
          <w:rFonts w:hint="eastAsia" w:cs="Arial" w:eastAsiaTheme="minorEastAsia"/>
          <w:szCs w:val="21"/>
        </w:rPr>
        <w:t>ol_dic_ps_type</w:t>
      </w:r>
      <w:r>
        <w:rPr>
          <w:rFonts w:cs="Arial" w:eastAsiaTheme="minorEastAsia"/>
          <w:szCs w:val="21"/>
        </w:rPr>
        <w:t xml:space="preserve"> (</w:t>
      </w:r>
      <w:r>
        <w:rPr>
          <w:rFonts w:hint="eastAsia" w:cs="Arial" w:eastAsiaTheme="minorEastAsia"/>
          <w:szCs w:val="21"/>
        </w:rPr>
        <w:t>企业类型字典表</w:t>
      </w:r>
      <w:r>
        <w:rPr>
          <w:rFonts w:cs="Arial" w:eastAsiaTheme="minorEastAsia"/>
          <w:szCs w:val="21"/>
        </w:rPr>
        <w:t>)</w:t>
      </w:r>
      <w:r>
        <w:rPr>
          <w:rFonts w:hint="eastAsia"/>
          <w:lang w:val="en-US" w:eastAsia="zh-CN"/>
        </w:rPr>
        <w:t>”中的“</w:t>
      </w:r>
      <w:r>
        <w:drawing>
          <wp:inline distT="0" distB="0" distL="114300" distR="114300">
            <wp:extent cx="2794635" cy="194310"/>
            <wp:effectExtent l="0" t="0" r="571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超标时间，“年月日”范围选择框；默认不显示数据时间；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污染物名称，下拉框，包括涉水污染源涉水“</w:t>
      </w:r>
      <w:r>
        <w:t>化学需氧量、总磷、总氮、氨氮</w:t>
      </w:r>
      <w:r>
        <w:rPr>
          <w:rFonts w:hint="eastAsia"/>
          <w:lang w:val="en-US" w:eastAsia="zh-CN"/>
        </w:rPr>
        <w:t>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查询，按钮，修改查询条件后，点击查询按钮在查询；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导出，按钮，点击后导出当前全部“查询结果”为excel文件；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查询结果列表</w:t>
      </w:r>
    </w:p>
    <w:p>
      <w:pPr>
        <w:pStyle w:val="11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查询结果，共检索到**条数据（数据来源：河北省生态环境大数据中心平台）</w:t>
      </w:r>
    </w:p>
    <w:p>
      <w:pPr>
        <w:pStyle w:val="11"/>
        <w:bidi w:val="0"/>
        <w:rPr>
          <w:rFonts w:hint="eastAsia"/>
          <w:lang w:val="en-US" w:eastAsia="zh-CN"/>
        </w:rPr>
      </w:pP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8"/>
        <w:gridCol w:w="854"/>
        <w:gridCol w:w="809"/>
        <w:gridCol w:w="809"/>
        <w:gridCol w:w="809"/>
        <w:gridCol w:w="809"/>
        <w:gridCol w:w="809"/>
        <w:gridCol w:w="809"/>
        <w:gridCol w:w="809"/>
        <w:gridCol w:w="991"/>
        <w:gridCol w:w="1037"/>
        <w:gridCol w:w="809"/>
        <w:gridCol w:w="991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污染企业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08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行政区划</w:t>
            </w:r>
          </w:p>
        </w:tc>
        <w:tc>
          <w:tcPr>
            <w:tcW w:w="301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污染物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平均浓度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mg/L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污染排放量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(kg)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流量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m3/s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超标上限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mg/L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超标下限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mg/L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数据类型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数据标记</w:t>
            </w:r>
          </w:p>
        </w:tc>
        <w:tc>
          <w:tcPr>
            <w:tcW w:w="349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超标上限倍数</w:t>
            </w:r>
          </w:p>
        </w:tc>
        <w:tc>
          <w:tcPr>
            <w:tcW w:w="36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超标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限倍数</w:t>
            </w:r>
          </w:p>
        </w:tc>
        <w:tc>
          <w:tcPr>
            <w:tcW w:w="285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监测时间</w:t>
            </w:r>
          </w:p>
        </w:tc>
        <w:tc>
          <w:tcPr>
            <w:tcW w:w="349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处置单状态</w:t>
            </w:r>
          </w:p>
        </w:tc>
        <w:tc>
          <w:tcPr>
            <w:tcW w:w="478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属实类型</w:t>
            </w:r>
          </w:p>
        </w:tc>
        <w:tc>
          <w:tcPr>
            <w:tcW w:w="478" w:type="pct"/>
            <w:vAlign w:val="center"/>
          </w:tcPr>
          <w:p>
            <w:pPr>
              <w:pStyle w:val="18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ps_id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显示名称，不显示代码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01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pollutant_code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显示名称，不显示代码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Avg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Cou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Flow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up_value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low_value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data_type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data_flag</w:t>
            </w:r>
          </w:p>
        </w:tc>
        <w:tc>
          <w:tcPr>
            <w:tcW w:w="349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alarm_up_multiple</w:t>
            </w:r>
          </w:p>
        </w:tc>
        <w:tc>
          <w:tcPr>
            <w:tcW w:w="36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alarm_low_multiple</w:t>
            </w:r>
          </w:p>
        </w:tc>
        <w:tc>
          <w:tcPr>
            <w:tcW w:w="285" w:type="pct"/>
            <w:vAlign w:val="top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ol_data_alarm (超标数据表)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data_time</w:t>
            </w:r>
          </w:p>
        </w:tc>
        <w:tc>
          <w:tcPr>
            <w:tcW w:w="349" w:type="pct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ol_disposal_alarm (超标处置单信息表)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status_name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当前状态名称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8" w:type="pct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ol_dic_disposal_true_type (超标/异常处置单是否属实原因分类数据字典表)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Type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属实类型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8" w:type="pct"/>
          </w:tcPr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ol_dic_disposal_true_type (超标/异常处置单是否属实原因分类数据字典表)</w:t>
            </w:r>
          </w:p>
          <w:p>
            <w:pPr>
              <w:pStyle w:val="18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update_time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更新时间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18"/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5C5E375E"/>
    <w:rsid w:val="00EF1351"/>
    <w:rsid w:val="01B54127"/>
    <w:rsid w:val="05400A0F"/>
    <w:rsid w:val="084B42D7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C5E375E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link w:val="20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link w:val="2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20">
    <w:name w:val="列表 2 Char"/>
    <w:link w:val="11"/>
    <w:qFormat/>
    <w:uiPriority w:val="0"/>
    <w:rPr>
      <w:rFonts w:asciiTheme="minorAscii" w:hAnsiTheme="minorAscii"/>
    </w:rPr>
  </w:style>
  <w:style w:type="character" w:customStyle="1" w:styleId="21">
    <w:name w:val="表格正文 Char"/>
    <w:link w:val="18"/>
    <w:uiPriority w:val="0"/>
    <w:rPr>
      <w:rFonts w:ascii="Times New Roman" w:hAnsi="Times New Roman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711</Characters>
  <Lines>0</Lines>
  <Paragraphs>0</Paragraphs>
  <TotalTime>1</TotalTime>
  <ScaleCrop>false</ScaleCrop>
  <LinksUpToDate>false</LinksUpToDate>
  <CharactersWithSpaces>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2023-03-07T02:03:00Z</dcterms:created>
  <dc:creator>郭宇飞</dc:creator>
  <cp:lastModifiedBy>郭宇飞</cp:lastModifiedBy>
  <dcterms:modified xsi:type="dcterms:W3CDTF">2023-03-07T10:37:55Z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36C4FE8F5ADC46B7A71A83E23662CFF7</vt:lpwstr>
  </property>
</Properties>
</file>