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bidi w:val="0"/>
        <w:rPr>
          <w:rFonts w:hint="default"/>
          <w:lang w:val="en-US"/>
        </w:rPr>
      </w:pPr>
      <w:r>
        <w:rPr>
          <w:lang w:val="en-US" w:eastAsia="zh-CN"/>
        </w:rPr>
        <w:t>扣缴生态补偿金</w:t>
      </w:r>
      <w:r>
        <w:rPr>
          <w:rFonts w:hint="eastAsia"/>
          <w:lang w:val="en-US" w:eastAsia="zh-CN"/>
        </w:rPr>
        <w:t>信息梳理</w:t>
      </w:r>
    </w:p>
    <w:p>
      <w:pPr>
        <w:pStyle w:val="11"/>
        <w:bidi w:val="0"/>
      </w:pPr>
      <w:r>
        <w:rPr>
          <w:lang w:val="en-US" w:eastAsia="zh-CN"/>
        </w:rPr>
        <w:t>考核因子</w:t>
      </w:r>
      <w:r>
        <w:rPr>
          <w:rFonts w:hint="eastAsia"/>
          <w:lang w:val="en-US" w:eastAsia="zh-CN"/>
        </w:rPr>
        <w:t>：</w:t>
      </w:r>
      <w:r>
        <w:rPr>
          <w:lang w:val="en-US" w:eastAsia="zh-CN"/>
        </w:rPr>
        <w:t>COD、氨氮、总磷、总氮、高锰酸盐指</w:t>
      </w:r>
      <w:r>
        <w:rPr>
          <w:rFonts w:hint="eastAsia"/>
          <w:lang w:val="en-US" w:eastAsia="zh-CN"/>
        </w:rPr>
        <w:t>数，共计5项；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断面考核属性：国、省考断面；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断面性质：手工断面、水质自动站；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《2022年10月份河北省八大水系省考核断面COD水质监测及生态补偿金扣缴情况统计表》使用的是手工监测断面的月数据，数据水处提供，需手动上传；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数据时间：白洋淀旬报使用的是水质自动站日均数据，数据水处提供，需手动上传；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旬报时间划定，1-10,11-20,20-31（20-28），下旬报告需附带月度生态补偿金扣缴情况统计表；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超标3日以上的按每日扣缴的累计值吗？如5天，分别为“30/60/30/120/90”那就是对应每日的扣缴基准值的累加为330；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断面超标情况下才计算“超基准值倍数”及“扣缴金额”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8"/>
        <w:gridCol w:w="1293"/>
        <w:gridCol w:w="1557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b/>
                <w:bCs w:val="0"/>
                <w:lang w:val="en-US" w:eastAsia="zh-CN"/>
              </w:rPr>
              <w:t>监测值</w:t>
            </w:r>
          </w:p>
        </w:tc>
        <w:tc>
          <w:tcPr>
            <w:tcW w:w="758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考核目标</w:t>
            </w:r>
          </w:p>
        </w:tc>
        <w:tc>
          <w:tcPr>
            <w:tcW w:w="913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扣缴基准值</w:t>
            </w:r>
          </w:p>
        </w:tc>
        <w:tc>
          <w:tcPr>
            <w:tcW w:w="1361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超标倍数</w:t>
            </w:r>
          </w:p>
        </w:tc>
        <w:tc>
          <w:tcPr>
            <w:tcW w:w="1361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超基准值倍数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58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3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61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达标</w:t>
            </w:r>
          </w:p>
        </w:tc>
        <w:tc>
          <w:tcPr>
            <w:tcW w:w="1361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58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3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61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达标</w:t>
            </w:r>
          </w:p>
        </w:tc>
        <w:tc>
          <w:tcPr>
            <w:tcW w:w="1361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58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3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61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（21-20）/20=0.05</w:t>
            </w:r>
          </w:p>
        </w:tc>
        <w:tc>
          <w:tcPr>
            <w:tcW w:w="1361" w:type="pct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（21-15）/15=0.4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58" w:type="pct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3" w:type="pct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61" w:type="pct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（21-20）/20=0.05</w:t>
            </w:r>
          </w:p>
        </w:tc>
        <w:tc>
          <w:tcPr>
            <w:tcW w:w="1361" w:type="pct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（21-20）/20=0.05</w:t>
            </w:r>
          </w:p>
        </w:tc>
      </w:tr>
    </w:tbl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入境水质达到水质目标或无入境水流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77"/>
        <w:gridCol w:w="563"/>
        <w:gridCol w:w="616"/>
        <w:gridCol w:w="669"/>
        <w:gridCol w:w="1445"/>
        <w:gridCol w:w="1445"/>
        <w:gridCol w:w="1016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上游A断面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上游B断面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/>
                <w:bCs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b/>
                <w:bCs w:val="0"/>
                <w:lang w:val="en-US" w:eastAsia="zh-CN"/>
              </w:rPr>
              <w:t>监测值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考核目标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扣缴基准值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超标倍数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超基准值倍数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扣缴金额（万元）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达标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无入境水流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达标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无入境水流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（21-20）/20=0.05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（21-15）/15=0.4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单倍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无入境水流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（21-20）/20=0.05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（21-20）/20=0.05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单倍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无入境水流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达标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入境水质达到水质目标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达标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入境水质达到水质目标</w:t>
            </w:r>
          </w:p>
        </w:tc>
      </w:tr>
    </w:tbl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入境水质超过规定水质目标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37"/>
        <w:gridCol w:w="543"/>
        <w:gridCol w:w="586"/>
        <w:gridCol w:w="630"/>
        <w:gridCol w:w="1410"/>
        <w:gridCol w:w="1410"/>
        <w:gridCol w:w="957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上游A断面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上游B断面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/>
                <w:bCs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b/>
                <w:bCs w:val="0"/>
                <w:lang w:val="en-US" w:eastAsia="zh-CN"/>
              </w:rPr>
              <w:t>监测值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考核目标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扣缴基准值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超标倍数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超基准值倍数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扣缴金额（万元）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达标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本断面达标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达标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本断面达标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未增加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虽超标，但水质无增加（就高不就低），不扣除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未增加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虽超标，但水质无增加（就高不就低），不扣除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（21-20）/20=0.05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（21-15）/15=0.4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双倍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入境水质超过规定水质目标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（21-20）/20=0.05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（21-20）/20=0.05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双倍</w:t>
            </w:r>
          </w:p>
        </w:tc>
        <w:tc>
          <w:tcPr>
            <w:tcW w:w="0" w:type="auto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入境水质超过规定水质目标</w:t>
            </w:r>
          </w:p>
        </w:tc>
      </w:tr>
    </w:tbl>
    <w:p>
      <w:pPr>
        <w:pStyle w:val="11"/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超标倍数</w:t>
      </w:r>
      <w:r>
        <w:rPr>
          <w:rFonts w:hint="eastAsia"/>
          <w:lang w:val="en-US" w:eastAsia="zh-CN"/>
        </w:rPr>
        <w:t>”列，①有“数字（如：0.32）”情况下，且白洋淀“对照断面水质结果”或全省“上游断面水质结果***浓度（mg/L）”两列断面有“超基准值倍数”数据（即超标情况下），且“监测结果”（全部对照/上游断面）＜当前断面“监测结果”的，根据“超基准值倍数”列信息，结合《表1生态补偿金扣缴规则》中的“</w:t>
      </w:r>
      <w:r>
        <w:rPr>
          <w:rFonts w:hint="eastAsia"/>
          <w:b/>
          <w:bCs w:val="0"/>
        </w:rPr>
        <w:t>入境水质超过规定水质目标</w:t>
      </w:r>
      <w:r>
        <w:rPr>
          <w:rFonts w:hint="eastAsia"/>
          <w:lang w:val="en-US" w:eastAsia="zh-CN"/>
        </w:rPr>
        <w:t>”列信息计算扣缴费用；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“超基准值倍数”列，在有“数字（如：0.32）”信息情况下，根据具体数据，结合《表1生态补偿金扣缴规则》中的“</w:t>
      </w:r>
      <w:r>
        <w:rPr>
          <w:rFonts w:hint="eastAsia"/>
          <w:b/>
          <w:bCs w:val="0"/>
          <w:lang w:val="en-US" w:eastAsia="zh-CN"/>
        </w:rPr>
        <w:t>入境水质达到水质目标或无入境水流</w:t>
      </w:r>
      <w:r>
        <w:rPr>
          <w:rFonts w:hint="eastAsia"/>
          <w:lang w:val="en-US" w:eastAsia="zh-CN"/>
        </w:rPr>
        <w:t>”列信息计算扣缴费用；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“超基准值倍数”列的“回流导致超标”后期需要手工调整；（暂时忽略）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1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生态补偿金扣缴规则</w:t>
      </w:r>
    </w:p>
    <w:tbl>
      <w:tblPr>
        <w:tblStyle w:val="1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26"/>
        <w:gridCol w:w="1480"/>
        <w:gridCol w:w="1756"/>
        <w:gridCol w:w="1330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所属时间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考核因子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入境水质达到水质目标或无入境水流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入境水质超过规定水质目标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超基准值倍数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扣缴费用(万元）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超基准值倍数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扣缴费用(万元）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化学需氧量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化学需氧量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化学需氧量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≤0.2*N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≤0.2*N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高锰酸盐指数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高锰酸盐指数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高锰酸盐指数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≤0.5*N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60*N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17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年度水质目标考核扣缴</w:t>
      </w:r>
      <w:r>
        <w:rPr>
          <w:rFonts w:hint="eastAsia"/>
          <w:lang w:val="en-US" w:eastAsia="zh-CN"/>
        </w:rPr>
        <w:t>（暂时不用，可先入库）</w:t>
      </w: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574"/>
        <w:gridCol w:w="3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惩罚措施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断面水质目标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断面水质类别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扣缴费用(万元）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≤Ⅲ类水质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Ⅳ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劣Ⅴ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Ⅳ类水质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劣Ⅴ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Ⅴ类水质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劣Ⅴ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</w:tbl>
    <w:p>
      <w:pPr>
        <w:pStyle w:val="18"/>
        <w:bidi w:val="0"/>
        <w:rPr>
          <w:rFonts w:hint="default"/>
          <w:lang w:val="en-US" w:eastAsia="zh-CN"/>
        </w:rPr>
      </w:pP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2579"/>
        <w:gridCol w:w="3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奖励措施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断面水质目标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断面水质类别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奖励费用(万元）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Ⅳ类水质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≤Ⅲ类水质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Ⅴ类水质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≤Ⅲ类水质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</w:tbl>
    <w:p>
      <w:pPr>
        <w:pStyle w:val="18"/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14CC5C6D"/>
    <w:rsid w:val="00EF1351"/>
    <w:rsid w:val="01B54127"/>
    <w:rsid w:val="05400A0F"/>
    <w:rsid w:val="0F3D334A"/>
    <w:rsid w:val="14CC5C6D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540003F"/>
    <w:rsid w:val="3A3556CD"/>
    <w:rsid w:val="3C686080"/>
    <w:rsid w:val="40043B8A"/>
    <w:rsid w:val="43287808"/>
    <w:rsid w:val="4A170AC2"/>
    <w:rsid w:val="4E152F6F"/>
    <w:rsid w:val="52324668"/>
    <w:rsid w:val="54897167"/>
    <w:rsid w:val="58F07115"/>
    <w:rsid w:val="5AC13672"/>
    <w:rsid w:val="5D591684"/>
    <w:rsid w:val="6B445CF6"/>
    <w:rsid w:val="6C40706B"/>
    <w:rsid w:val="6C952A11"/>
    <w:rsid w:val="6E9E436A"/>
    <w:rsid w:val="6FA8783E"/>
    <w:rsid w:val="6FC32E89"/>
    <w:rsid w:val="740B1954"/>
    <w:rsid w:val="745C45A0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  <w:style w:type="character" w:customStyle="1" w:styleId="21">
    <w:name w:val="font31"/>
    <w:basedOn w:val="16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2">
    <w:name w:val="font01"/>
    <w:basedOn w:val="16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1300</Words>
  <Characters>1595</Characters>
  <Lines>0</Lines>
  <Paragraphs>0</Paragraphs>
  <TotalTime>1</TotalTime>
  <ScaleCrop>false</ScaleCrop>
  <LinksUpToDate>false</LinksUpToDate>
  <CharactersWithSpaces>1595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2023-01-18T01:37:00Z</dcterms:created>
  <dc:creator>郭宇飞</dc:creator>
  <cp:lastModifiedBy>郭宇飞</cp:lastModifiedBy>
  <dcterms:modified xsi:type="dcterms:W3CDTF">2023-02-09T07:41:33Z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F036FB9AF84242A0A25930E0DCF5A9D9</vt:lpwstr>
  </property>
</Properties>
</file>