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分析评价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统计分析报表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分析报告</w:t>
      </w:r>
    </w:p>
    <w:p>
      <w:pPr>
        <w:pStyle w:val="18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白洋淀流域考核断面水质及生态补偿金扣缴情况的通报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现有条件下，在“导出报告”前增加条件，</w:t>
      </w:r>
    </w:p>
    <w:tbl>
      <w:tblPr>
        <w:tblStyle w:val="15"/>
        <w:tblW w:w="5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77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77" w:type="dxa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使用超基准值倍数</w:t>
            </w:r>
          </w:p>
        </w:tc>
        <w:tc>
          <w:tcPr>
            <w:tcW w:w="2777" w:type="dxa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计算超基准值倍数</w:t>
            </w:r>
          </w:p>
        </w:tc>
      </w:tr>
    </w:tbl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使用超基准值倍数，默认选择，在此选项下生成的报告，直接使用“超基准值倍数”计算“扣缴金额”；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计算超基准值倍数，在此选项下生成的报告，需要根据“水质目标COD浓度（mg/L）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扣缴基准值（mg/L）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监测结果COD浓度（mg/L）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上游断面水质结果COD浓度（mg/L）”4列计算“超标倍数”“超基准值倍数”；再结合上游断面计算扣缴金额是否双倍扣缴。</w:t>
      </w:r>
      <w:bookmarkStart w:id="0" w:name="_GoBack"/>
      <w:bookmarkEnd w:id="0"/>
    </w:p>
    <w:p>
      <w:pPr>
        <w:pStyle w:val="5"/>
        <w:bidi w:val="0"/>
      </w:pPr>
      <w:r>
        <w:rPr>
          <w:rFonts w:hint="eastAsia"/>
          <w:lang w:val="en-US" w:eastAsia="zh-CN"/>
        </w:rPr>
        <w:t>全省主要河流跨界断面水质及生态补偿金扣缴情况的通报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现有条件下，在“导出报告”前增加条件，</w:t>
      </w:r>
    </w:p>
    <w:tbl>
      <w:tblPr>
        <w:tblStyle w:val="15"/>
        <w:tblW w:w="5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使用超基准值倍数</w:t>
            </w:r>
          </w:p>
        </w:tc>
        <w:tc>
          <w:tcPr>
            <w:tcW w:w="2777" w:type="dxa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计算超基准值倍数</w:t>
            </w:r>
          </w:p>
        </w:tc>
      </w:tr>
    </w:tbl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使用超基准值倍数，默认选择，在此选项下生成的报告，直接使用“超基准值倍数”计算“扣缴金额”；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计算超基准值倍数，在此选项下生成的报告，需要根据“水质目标COD浓度（mg/L）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扣缴基准值（mg/L）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监测结果COD浓度（mg/L）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上游断面水质结果COD浓度（mg/L）”4列计算“超标倍数”“超基准值倍数”；再结合上游断面计算扣缴金额是否双倍扣缴。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46A904CC"/>
    <w:rsid w:val="00EF1351"/>
    <w:rsid w:val="01B54127"/>
    <w:rsid w:val="05400A0F"/>
    <w:rsid w:val="0F3D334A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E1B62A8"/>
    <w:rsid w:val="2EC04FA7"/>
    <w:rsid w:val="3540003F"/>
    <w:rsid w:val="3C686080"/>
    <w:rsid w:val="46A904CC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475</Characters>
  <Lines>0</Lines>
  <Paragraphs>0</Paragraphs>
  <TotalTime>1</TotalTime>
  <ScaleCrop>false</ScaleCrop>
  <LinksUpToDate>false</LinksUpToDate>
  <CharactersWithSpaces>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2023-02-09T06:46:00Z</dcterms:created>
  <dc:creator>郭宇飞</dc:creator>
  <cp:lastModifiedBy>郭宇飞</cp:lastModifiedBy>
  <dcterms:modified xsi:type="dcterms:W3CDTF">2023-02-09T07:44:43Z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9D8D48E82C9747D8A339416DE5F8CC26</vt:lpwstr>
  </property>
</Properties>
</file>