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待审核导入数据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t>水质类别和超标污染物两列，使用判断依据（GB3838-2002）中的（24项）评价因子中的21项，不参与评价的3项为（温度、总氮、类大肠菌群）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659130"/>
            <wp:effectExtent l="0" t="0" r="0" b="7620"/>
            <wp:docPr id="9" name="图片 9" descr="F`9YID0NK_Y`_%62WW@RK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`9YID0NK_Y`_%62WW@RKW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数据修改申请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1、点击新能后，弹窗不默认查询，选择条件后点击查询按钮在进行查询；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审核未通过数据</w:t>
      </w:r>
    </w:p>
    <w:p>
      <w:pPr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1、列表数据，数据带L的应显示L；如下图，26号大桥，汞的监测值上传时带L的；现在列表也应显示；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数据审核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监测数据审核</w:t>
      </w:r>
    </w:p>
    <w:p>
      <w:pPr>
        <w:ind w:left="240" w:leftChars="100"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1、列表数据，数据带L的应显示L；如下图，安州，氨氮的监测值上传时带L的；现在列表也应显示；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t>水质类别和超标污染物两列，使用判断依据（GB3838-2002）中的（24项）评价因子中的21项，不参与评价的3项为（温度、总氮、类大肠菌群）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659130"/>
            <wp:effectExtent l="0" t="0" r="0" b="7620"/>
            <wp:docPr id="10" name="图片 10" descr="F`9YID0NK_Y`_%62WW@RK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`9YID0NK_Y`_%62WW@RKW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报表分析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所有报表中，涉及主要污染物和定类污染物的，因子名称后括号内的数值应显示超标倍数，而不是超标值；下图，定类污染物因子名称后显示错误，不应显示因子监测值，而应显示超标倍数。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监测时间，选择什么范围，就只统计范围内的数据，下图，选择2022年9月-2022年9月，生成报表，时间列却是2022年9月-2022年10月，需调整；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统计维度和时间维度均需有默认值，不能为空；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bidi w:val="0"/>
      </w:pPr>
    </w:p>
    <w:p>
      <w:pPr>
        <w:pStyle w:val="14"/>
        <w:bidi w:val="0"/>
      </w:pPr>
    </w:p>
    <w:p>
      <w:pPr>
        <w:pStyle w:val="14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E0FAE57"/>
    <w:multiLevelType w:val="singleLevel"/>
    <w:tmpl w:val="4E0FAE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E9B40CD"/>
    <w:rsid w:val="15CD6BAA"/>
    <w:rsid w:val="18301ACB"/>
    <w:rsid w:val="249D3020"/>
    <w:rsid w:val="56654EA1"/>
    <w:rsid w:val="58823924"/>
    <w:rsid w:val="68DA3CC2"/>
    <w:rsid w:val="6D607822"/>
    <w:rsid w:val="73054101"/>
    <w:rsid w:val="753B0164"/>
    <w:rsid w:val="7E9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341</Characters>
  <Lines>0</Lines>
  <Paragraphs>0</Paragraphs>
  <TotalTime>0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2022-11-18T01:29:00Z</dcterms:created>
  <dc:creator>郭宇飞</dc:creator>
  <cp:lastModifiedBy>郭宇飞</cp:lastModifiedBy>
  <dcterms:modified xsi:type="dcterms:W3CDTF">2022-11-18T09:58:28Z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8003C1A342FC42EBBA30F89BD654476A</vt:lpwstr>
  </property>
</Properties>
</file>