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Chars="0"/>
        <w:outlineLvl w:val="0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省级-统计分析</w:t>
      </w:r>
    </w:p>
    <w:p>
      <w:pPr>
        <w:numPr>
          <w:ilvl w:val="1"/>
          <w:numId w:val="1"/>
        </w:numPr>
        <w:ind w:left="260" w:leftChars="0" w:firstLine="0" w:firstLineChars="0"/>
        <w:outlineLvl w:val="1"/>
        <w:rPr>
          <w:rFonts w:hint="default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管理计划统计中的‘危险废物产生及处置情况（按行政区划）’调整到左侧菜单列‘</w:t>
      </w: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管理计划统计</w:t>
      </w: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’下方，显示为‘计划产生及处置情况’。</w:t>
      </w:r>
    </w:p>
    <w:p>
      <w:pPr>
        <w:numPr>
          <w:numId w:val="0"/>
        </w:numPr>
        <w:outlineLvl w:val="9"/>
      </w:pPr>
      <w:r>
        <w:drawing>
          <wp:inline distT="0" distB="0" distL="114300" distR="114300">
            <wp:extent cx="5266690" cy="2583815"/>
            <wp:effectExtent l="0" t="0" r="635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260" w:leftChars="0" w:firstLine="0" w:firstLineChars="0"/>
        <w:outlineLvl w:val="1"/>
        <w:rPr>
          <w:rFonts w:hint="default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危险废物转移中‘报表统计’页面5项统计页面调整到左侧菜单列分别展示为①省内转移联单统计、②省内危废转移量统计、③各类别危废转移统计、④危废转移及接收企业统计、⑤危废转移按年月统计。</w:t>
      </w:r>
    </w:p>
    <w:p>
      <w:pPr>
        <w:numPr>
          <w:numId w:val="0"/>
        </w:numPr>
        <w:outlineLvl w:val="9"/>
      </w:pPr>
      <w:r>
        <w:drawing>
          <wp:inline distT="0" distB="0" distL="114300" distR="114300">
            <wp:extent cx="5266690" cy="25838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260" w:leftChars="0" w:firstLine="0" w:firstLineChars="0"/>
        <w:outlineLvl w:val="1"/>
        <w:rPr>
          <w:rFonts w:hint="default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跨省转移统计中‘报表统计’调整到左侧菜单列‘跨省转移统计’下方，显示为‘跨省转移汇总表’。</w:t>
      </w:r>
    </w:p>
    <w:p>
      <w:pPr>
        <w:numPr>
          <w:numId w:val="0"/>
        </w:numPr>
        <w:ind w:left="260" w:leftChars="0"/>
        <w:outlineLvl w:val="9"/>
      </w:pPr>
      <w:r>
        <w:drawing>
          <wp:inline distT="0" distB="0" distL="114300" distR="114300">
            <wp:extent cx="5266690" cy="258381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260" w:leftChars="0" w:firstLine="0" w:firstLineChars="0"/>
        <w:outlineLvl w:val="1"/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复制市级模块中‘统计分析--危废台账统计’页面到省级统计分析模块，将其中四类统计拆开分为四个页面展示到左侧菜单列，分别为‘危废台账区划统计、危废台账大类统计、危废台账行业统计、危废台账企业统计’。（数据来源：省厅目前未对接台账信息，暂时写死一些假数据）</w:t>
      </w:r>
    </w:p>
    <w:p>
      <w:pPr>
        <w:numPr>
          <w:numId w:val="0"/>
        </w:numPr>
        <w:outlineLvl w:val="9"/>
      </w:pPr>
      <w:r>
        <w:drawing>
          <wp:inline distT="0" distB="0" distL="114300" distR="114300">
            <wp:extent cx="5266690" cy="2583815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83815"/>
            <wp:effectExtent l="0" t="0" r="635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260" w:leftChars="0" w:firstLine="0" w:firstLineChars="0"/>
        <w:outlineLvl w:val="1"/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复制市级模块中‘统计分析--车辆信息统计’页面到省级统计分析模块，（数据来源：省厅目前未对接车辆信息，暂时写死一些假数据）。</w:t>
      </w:r>
    </w:p>
    <w:p>
      <w:pPr>
        <w:numPr>
          <w:numId w:val="0"/>
        </w:numPr>
        <w:outlineLvl w:val="9"/>
      </w:pPr>
      <w:r>
        <w:drawing>
          <wp:inline distT="0" distB="0" distL="114300" distR="114300">
            <wp:extent cx="5266690" cy="2583815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outlineLvl w:val="0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省级-GIS可视化</w:t>
      </w:r>
    </w:p>
    <w:p>
      <w:pPr>
        <w:numPr>
          <w:ilvl w:val="1"/>
          <w:numId w:val="1"/>
        </w:numPr>
        <w:ind w:left="260" w:leftChars="0" w:firstLine="0" w:firstLineChars="0"/>
        <w:outlineLvl w:val="1"/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复制市级模块中‘GIS可视化--车辆转移轨迹’页面到省级GIS可视化模块，（数据来源：省厅目前未对接车辆信息，暂时写死几条假数据展示出来）。</w:t>
      </w:r>
    </w:p>
    <w:p>
      <w:pPr>
        <w:numPr>
          <w:numId w:val="0"/>
        </w:numPr>
        <w:outlineLvl w:val="9"/>
      </w:pPr>
      <w:r>
        <w:drawing>
          <wp:inline distT="0" distB="0" distL="114300" distR="114300">
            <wp:extent cx="5266690" cy="2583815"/>
            <wp:effectExtent l="0" t="0" r="635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outlineLvl w:val="0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预警规则</w:t>
      </w:r>
    </w:p>
    <w:p>
      <w:pPr>
        <w:numPr>
          <w:ilvl w:val="1"/>
          <w:numId w:val="1"/>
        </w:numPr>
        <w:ind w:left="260" w:leftChars="0" w:firstLine="0" w:firstLineChars="0"/>
        <w:outlineLvl w:val="1"/>
        <w:rPr>
          <w:rFonts w:hint="default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市级-系统管理-预警规则设置，增加预警规则，规则详见附表（实际功能暂可不实现，页面上展示出来这些规则）。</w:t>
      </w:r>
    </w:p>
    <w:p>
      <w:pPr>
        <w:numPr>
          <w:numId w:val="0"/>
        </w:numPr>
        <w:outlineLvl w:val="9"/>
      </w:pPr>
      <w:r>
        <w:drawing>
          <wp:inline distT="0" distB="0" distL="114300" distR="114300">
            <wp:extent cx="5266690" cy="2583815"/>
            <wp:effectExtent l="0" t="0" r="635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260" w:leftChars="0" w:firstLine="0" w:firstLineChars="0"/>
        <w:outlineLvl w:val="1"/>
        <w:rPr>
          <w:rFonts w:hint="default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省级-监控预警-预警查询页面中，根据3.1新加的预警规则，每条规则在本页面列表中写死2-3条假数据。</w:t>
      </w:r>
      <w:bookmarkStart w:id="0" w:name="_GoBack"/>
      <w:bookmarkEnd w:id="0"/>
    </w:p>
    <w:p>
      <w:pPr>
        <w:numPr>
          <w:numId w:val="0"/>
        </w:num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8598E5"/>
    <w:multiLevelType w:val="multilevel"/>
    <w:tmpl w:val="798598E5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26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26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26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26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26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26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26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26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2ZTMwODEwNjYzZDVlNzI3NTIzN2NkMmJiZDVlNGUifQ=="/>
  </w:docVars>
  <w:rsids>
    <w:rsidRoot w:val="651F6DDC"/>
    <w:rsid w:val="063F1A34"/>
    <w:rsid w:val="26DF5FBC"/>
    <w:rsid w:val="2B1C090B"/>
    <w:rsid w:val="36360D76"/>
    <w:rsid w:val="651F6DDC"/>
    <w:rsid w:val="7033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563</Words>
  <Characters>577</Characters>
  <Lines>0</Lines>
  <Paragraphs>0</Paragraphs>
  <TotalTime>45</TotalTime>
  <ScaleCrop>false</ScaleCrop>
  <LinksUpToDate>false</LinksUpToDate>
  <CharactersWithSpaces>579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2022-08-08T07:52:00Z</dcterms:created>
  <dc:creator>zjx</dc:creator>
  <cp:lastModifiedBy>zjx</cp:lastModifiedBy>
  <dcterms:modified xsi:type="dcterms:W3CDTF">2022-08-26T11:55:30Z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34E6CABBA3534654B7495FC7874DC522</vt:lpwstr>
  </property>
</Properties>
</file>