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省级-企业管理-企业画像的研判规则调整为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ascii="宋体" w:hAnsi="宋体" w:eastAsia="宋体" w:cs="宋体"/>
          <w:sz w:val="24"/>
          <w:szCs w:val="24"/>
        </w:rPr>
        <w:t>表里的规则。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0220" cy="2733040"/>
            <wp:effectExtent l="0" t="0" r="762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88A59"/>
    <w:multiLevelType w:val="singleLevel"/>
    <w:tmpl w:val="21388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MwODEwNjYzZDVlNzI3NTIzN2NkMmJiZDVlNGUifQ=="/>
  </w:docVars>
  <w:rsids>
    <w:rsidRoot w:val="00000000"/>
    <w:rsid w:val="1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2022-08-25T04:21:52Z</dcterms:created>
  <dc:creator>lvchuang</dc:creator>
  <cp:lastModifiedBy>zjx</cp:lastModifiedBy>
  <dcterms:modified xsi:type="dcterms:W3CDTF">2022-08-25T04:22:17Z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F0EBDF418FDA4408965E5C7994C18A49</vt:lpwstr>
  </property>
</Properties>
</file>