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firstLine="0" w:firstLineChars="0"/>
        <w:jc w:val="center"/>
        <w:rPr>
          <w:rFonts w:ascii="宋体" w:hAnsi="宋体" w:cs="Times New Roman"/>
          <w:b/>
          <w:sz w:val="52"/>
          <w:szCs w:val="52"/>
        </w:rPr>
      </w:pPr>
      <w:bookmarkStart w:id="0" w:name="_Hlk52284455"/>
    </w:p>
    <w:p>
      <w:pPr>
        <w:tabs>
          <w:tab w:val="left" w:pos="4886"/>
        </w:tabs>
        <w:snapToGrid w:val="0"/>
        <w:spacing w:line="600" w:lineRule="exact"/>
        <w:ind w:firstLine="0" w:firstLineChars="0"/>
        <w:jc w:val="left"/>
        <w:rPr>
          <w:rFonts w:ascii="宋体" w:hAnsi="宋体" w:cs="Times New Roman"/>
          <w:b/>
          <w:sz w:val="52"/>
          <w:szCs w:val="52"/>
        </w:rPr>
      </w:pPr>
    </w:p>
    <w:p>
      <w:pPr>
        <w:snapToGrid w:val="0"/>
        <w:spacing w:line="600" w:lineRule="exact"/>
        <w:ind w:firstLine="0" w:firstLineChars="0"/>
        <w:jc w:val="center"/>
        <w:rPr>
          <w:rFonts w:ascii="宋体" w:hAnsi="宋体" w:cs="Times New Roman"/>
          <w:b/>
          <w:sz w:val="52"/>
          <w:szCs w:val="52"/>
        </w:rPr>
      </w:pPr>
    </w:p>
    <w:p>
      <w:pPr>
        <w:pStyle w:val="2"/>
        <w:rPr>
          <w:rFonts w:ascii="宋体" w:hAnsi="宋体" w:cs="Times New Roman"/>
          <w:b/>
          <w:sz w:val="52"/>
          <w:szCs w:val="52"/>
        </w:rPr>
      </w:pPr>
    </w:p>
    <w:p>
      <w:pPr>
        <w:pStyle w:val="2"/>
        <w:rPr>
          <w:rFonts w:ascii="宋体" w:hAnsi="宋体" w:cs="Times New Roman"/>
          <w:b/>
          <w:sz w:val="52"/>
          <w:szCs w:val="52"/>
        </w:rPr>
      </w:pPr>
    </w:p>
    <w:p>
      <w:pPr>
        <w:pStyle w:val="2"/>
        <w:rPr>
          <w:rFonts w:ascii="宋体" w:hAnsi="宋体" w:cs="Times New Roman"/>
          <w:b/>
          <w:sz w:val="52"/>
          <w:szCs w:val="52"/>
        </w:rPr>
      </w:pPr>
    </w:p>
    <w:p>
      <w:pPr>
        <w:pStyle w:val="2"/>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ascii="方正小标宋简体" w:hAnsi="黑体" w:eastAsia="方正小标宋简体"/>
          <w:sz w:val="44"/>
          <w:szCs w:val="44"/>
        </w:rPr>
      </w:pPr>
      <w:r>
        <w:rPr>
          <w:rFonts w:hint="eastAsia" w:ascii="方正小标宋简体" w:hAnsi="黑体" w:eastAsia="方正小标宋简体"/>
          <w:sz w:val="44"/>
          <w:szCs w:val="44"/>
        </w:rPr>
        <w:t>辽宁省</w:t>
      </w:r>
      <w:r>
        <w:rPr>
          <w:rFonts w:hint="eastAsia" w:ascii="方正小标宋简体" w:hAnsi="黑体" w:eastAsia="方正小标宋简体"/>
          <w:sz w:val="44"/>
          <w:szCs w:val="44"/>
          <w:lang w:val="en-US" w:eastAsia="zh-CN"/>
        </w:rPr>
        <w:t>政务信息资源</w:t>
      </w:r>
      <w:r>
        <w:rPr>
          <w:rFonts w:hint="eastAsia" w:ascii="方正小标宋简体" w:hAnsi="黑体" w:eastAsia="方正小标宋简体"/>
          <w:sz w:val="44"/>
          <w:szCs w:val="44"/>
        </w:rPr>
        <w:t>共享交换平台支撑各部门各业务系统数据汇聚推送实施方案</w:t>
      </w: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楷体_GB2312" w:hAnsi="方正楷体_GB2312" w:eastAsia="方正楷体_GB2312" w:cs="方正楷体_GB2312"/>
          <w:b w:val="0"/>
          <w:bCs/>
          <w:sz w:val="32"/>
          <w:szCs w:val="32"/>
          <w:shd w:val="clear" w:color="auto" w:fill="FFFFFF"/>
        </w:rPr>
      </w:pPr>
      <w:r>
        <w:rPr>
          <w:rFonts w:hint="eastAsia" w:ascii="方正楷体_GB2312" w:hAnsi="方正楷体_GB2312" w:eastAsia="方正楷体_GB2312" w:cs="方正楷体_GB2312"/>
          <w:b w:val="0"/>
          <w:bCs/>
          <w:sz w:val="32"/>
          <w:szCs w:val="32"/>
          <w:shd w:val="clear" w:color="auto" w:fill="FFFFFF"/>
        </w:rPr>
        <w:t>辽宁省推进“互联网+政务服务”领导小组办公室</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楷体_GB2312" w:hAnsi="方正楷体_GB2312" w:eastAsia="方正楷体_GB2312" w:cs="方正楷体_GB2312"/>
          <w:b w:val="0"/>
          <w:bCs/>
          <w:sz w:val="32"/>
          <w:szCs w:val="32"/>
          <w:shd w:val="clear" w:color="auto" w:fill="FFFFFF"/>
        </w:rPr>
      </w:pPr>
      <w:r>
        <w:rPr>
          <w:rFonts w:hint="eastAsia" w:ascii="方正楷体_GB2312" w:hAnsi="方正楷体_GB2312" w:eastAsia="方正楷体_GB2312" w:cs="方正楷体_GB2312"/>
          <w:b w:val="0"/>
          <w:bCs/>
          <w:sz w:val="32"/>
          <w:szCs w:val="32"/>
          <w:shd w:val="clear" w:color="auto" w:fill="FFFFFF"/>
        </w:rPr>
        <w:t>2020年</w:t>
      </w:r>
      <w:r>
        <w:rPr>
          <w:rFonts w:hint="eastAsia" w:ascii="方正楷体_GB2312" w:hAnsi="方正楷体_GB2312" w:eastAsia="方正楷体_GB2312" w:cs="方正楷体_GB2312"/>
          <w:b w:val="0"/>
          <w:bCs/>
          <w:sz w:val="32"/>
          <w:szCs w:val="32"/>
          <w:shd w:val="clear" w:color="auto" w:fill="FFFFFF"/>
          <w:lang w:val="en-US" w:eastAsia="zh-CN"/>
        </w:rPr>
        <w:t>9</w:t>
      </w:r>
      <w:bookmarkStart w:id="39" w:name="_GoBack"/>
      <w:bookmarkEnd w:id="39"/>
      <w:r>
        <w:rPr>
          <w:rFonts w:hint="eastAsia" w:ascii="方正楷体_GB2312" w:hAnsi="方正楷体_GB2312" w:eastAsia="方正楷体_GB2312" w:cs="方正楷体_GB2312"/>
          <w:b w:val="0"/>
          <w:bCs/>
          <w:sz w:val="32"/>
          <w:szCs w:val="32"/>
          <w:shd w:val="clear" w:color="auto" w:fill="FFFFFF"/>
        </w:rPr>
        <w:t>月</w:t>
      </w:r>
    </w:p>
    <w:p>
      <w:pPr>
        <w:pStyle w:val="2"/>
        <w:rPr>
          <w:rFonts w:hint="eastAsia"/>
        </w:rPr>
      </w:pPr>
    </w:p>
    <w:p>
      <w:pPr>
        <w:pStyle w:val="2"/>
        <w:rPr>
          <w:rFonts w:hint="eastAsia"/>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pPr>
    </w:p>
    <w:bookmarkEnd w:id="0"/>
    <w:p>
      <w:pPr>
        <w:ind w:firstLine="723"/>
        <w:jc w:val="center"/>
        <w:rPr>
          <w:rFonts w:ascii="黑体" w:hAnsi="黑体" w:eastAsia="黑体" w:cs="宋体"/>
          <w:b/>
          <w:bCs/>
          <w:sz w:val="36"/>
          <w:szCs w:val="36"/>
        </w:rPr>
      </w:pPr>
      <w:bookmarkStart w:id="1" w:name="_Toc10543"/>
      <w:bookmarkStart w:id="2" w:name="_Toc5768"/>
      <w:bookmarkStart w:id="3" w:name="_Toc24123480"/>
      <w:r>
        <w:rPr>
          <w:rFonts w:ascii="黑体" w:hAnsi="黑体" w:eastAsia="黑体" w:cs="宋体"/>
          <w:b/>
          <w:bCs/>
          <w:sz w:val="36"/>
          <w:szCs w:val="36"/>
        </w:rPr>
        <w:t>目</w:t>
      </w:r>
      <w:r>
        <w:rPr>
          <w:rFonts w:hint="eastAsia" w:ascii="黑体" w:hAnsi="黑体" w:eastAsia="黑体" w:cs="宋体"/>
          <w:b/>
          <w:bCs/>
          <w:sz w:val="36"/>
          <w:szCs w:val="36"/>
        </w:rPr>
        <w:t xml:space="preserve">  </w:t>
      </w:r>
      <w:r>
        <w:rPr>
          <w:rFonts w:ascii="黑体" w:hAnsi="黑体" w:eastAsia="黑体" w:cs="宋体"/>
          <w:b/>
          <w:bCs/>
          <w:sz w:val="36"/>
          <w:szCs w:val="36"/>
        </w:rPr>
        <w:t>录</w:t>
      </w:r>
    </w:p>
    <w:p>
      <w:pPr>
        <w:pStyle w:val="11"/>
        <w:tabs>
          <w:tab w:val="right" w:leader="dot" w:pos="8296"/>
        </w:tabs>
        <w:rPr>
          <w:rFonts w:asciiTheme="minorHAnsi" w:hAnsiTheme="minorHAnsi" w:eastAsiaTheme="minorEastAsia" w:cstheme="minorBidi"/>
          <w:sz w:val="21"/>
          <w:szCs w:val="22"/>
        </w:rPr>
      </w:pPr>
      <w:r>
        <w:fldChar w:fldCharType="begin"/>
      </w:r>
      <w:r>
        <w:instrText xml:space="preserve"> TOC \o "1-3" \h \z \u </w:instrText>
      </w:r>
      <w:r>
        <w:fldChar w:fldCharType="separate"/>
      </w:r>
      <w:r>
        <w:fldChar w:fldCharType="begin"/>
      </w:r>
      <w:r>
        <w:instrText xml:space="preserve"> HYPERLINK \l "_Toc52559657" </w:instrText>
      </w:r>
      <w:r>
        <w:fldChar w:fldCharType="separate"/>
      </w:r>
      <w:r>
        <w:rPr>
          <w:rStyle w:val="16"/>
          <w:rFonts w:hint="eastAsia" w:ascii="黑体" w:hAnsi="黑体" w:eastAsia="黑体" w:cs="宋体"/>
        </w:rPr>
        <w:t>一、</w:t>
      </w:r>
      <w:r>
        <w:rPr>
          <w:rStyle w:val="16"/>
          <w:rFonts w:hint="eastAsia" w:ascii="黑体" w:hAnsi="黑体" w:eastAsia="黑体"/>
        </w:rPr>
        <w:t xml:space="preserve"> 概述</w:t>
      </w:r>
      <w:r>
        <w:tab/>
      </w:r>
      <w:r>
        <w:fldChar w:fldCharType="begin"/>
      </w:r>
      <w:r>
        <w:instrText xml:space="preserve"> PAGEREF _Toc52559657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 w:val="21"/>
          <w:szCs w:val="22"/>
        </w:rPr>
      </w:pPr>
      <w:r>
        <w:fldChar w:fldCharType="begin"/>
      </w:r>
      <w:r>
        <w:instrText xml:space="preserve"> HYPERLINK \l "_Toc52559658" </w:instrText>
      </w:r>
      <w:r>
        <w:fldChar w:fldCharType="separate"/>
      </w:r>
      <w:r>
        <w:rPr>
          <w:rStyle w:val="16"/>
          <w:rFonts w:hint="eastAsia" w:ascii="黑体" w:hAnsi="黑体" w:eastAsia="黑体" w:cs="宋体"/>
        </w:rPr>
        <w:t>二、</w:t>
      </w:r>
      <w:r>
        <w:rPr>
          <w:rStyle w:val="16"/>
          <w:rFonts w:hint="eastAsia" w:ascii="黑体" w:hAnsi="黑体" w:eastAsia="黑体"/>
        </w:rPr>
        <w:t xml:space="preserve"> 对接准备工作</w:t>
      </w:r>
      <w:r>
        <w:tab/>
      </w:r>
      <w:r>
        <w:fldChar w:fldCharType="begin"/>
      </w:r>
      <w:r>
        <w:instrText xml:space="preserve"> PAGEREF _Toc52559658 \h </w:instrText>
      </w:r>
      <w:r>
        <w:fldChar w:fldCharType="separate"/>
      </w:r>
      <w:r>
        <w:t>1</w:t>
      </w:r>
      <w:r>
        <w:fldChar w:fldCharType="end"/>
      </w:r>
      <w:r>
        <w:fldChar w:fldCharType="end"/>
      </w:r>
    </w:p>
    <w:p>
      <w:pPr>
        <w:pStyle w:val="12"/>
        <w:tabs>
          <w:tab w:val="right" w:leader="dot" w:pos="8296"/>
        </w:tabs>
        <w:rPr>
          <w:rFonts w:asciiTheme="minorHAnsi" w:hAnsiTheme="minorHAnsi" w:eastAsiaTheme="minorEastAsia" w:cstheme="minorBidi"/>
          <w:sz w:val="21"/>
          <w:szCs w:val="22"/>
        </w:rPr>
      </w:pPr>
      <w:r>
        <w:fldChar w:fldCharType="begin"/>
      </w:r>
      <w:r>
        <w:instrText xml:space="preserve"> HYPERLINK \l "_Toc52559659" </w:instrText>
      </w:r>
      <w:r>
        <w:fldChar w:fldCharType="separate"/>
      </w:r>
      <w:r>
        <w:rPr>
          <w:rStyle w:val="16"/>
          <w:rFonts w:hint="eastAsia" w:ascii="仿宋" w:hAnsi="仿宋"/>
        </w:rPr>
        <w:t>（一）对接环境准备</w:t>
      </w:r>
      <w:r>
        <w:tab/>
      </w:r>
      <w:r>
        <w:fldChar w:fldCharType="begin"/>
      </w:r>
      <w:r>
        <w:instrText xml:space="preserve"> PAGEREF _Toc52559659 \h </w:instrText>
      </w:r>
      <w:r>
        <w:fldChar w:fldCharType="separate"/>
      </w:r>
      <w:r>
        <w:t>2</w:t>
      </w:r>
      <w:r>
        <w:fldChar w:fldCharType="end"/>
      </w:r>
      <w:r>
        <w:fldChar w:fldCharType="end"/>
      </w:r>
    </w:p>
    <w:p>
      <w:pPr>
        <w:pStyle w:val="12"/>
        <w:tabs>
          <w:tab w:val="right" w:leader="dot" w:pos="8296"/>
        </w:tabs>
        <w:rPr>
          <w:rFonts w:asciiTheme="minorHAnsi" w:hAnsiTheme="minorHAnsi" w:eastAsiaTheme="minorEastAsia" w:cstheme="minorBidi"/>
          <w:sz w:val="21"/>
          <w:szCs w:val="22"/>
        </w:rPr>
      </w:pPr>
      <w:r>
        <w:fldChar w:fldCharType="begin"/>
      </w:r>
      <w:r>
        <w:instrText xml:space="preserve"> HYPERLINK \l "_Toc52559660" </w:instrText>
      </w:r>
      <w:r>
        <w:fldChar w:fldCharType="separate"/>
      </w:r>
      <w:r>
        <w:rPr>
          <w:rStyle w:val="16"/>
          <w:rFonts w:hint="eastAsia" w:ascii="仿宋" w:hAnsi="仿宋"/>
        </w:rPr>
        <w:t>（二）网络准备</w:t>
      </w:r>
      <w:r>
        <w:tab/>
      </w:r>
      <w:r>
        <w:fldChar w:fldCharType="begin"/>
      </w:r>
      <w:r>
        <w:instrText xml:space="preserve"> PAGEREF _Toc52559660 \h </w:instrText>
      </w:r>
      <w:r>
        <w:fldChar w:fldCharType="separate"/>
      </w:r>
      <w:r>
        <w:t>2</w:t>
      </w:r>
      <w:r>
        <w:fldChar w:fldCharType="end"/>
      </w:r>
      <w:r>
        <w:fldChar w:fldCharType="end"/>
      </w:r>
    </w:p>
    <w:p>
      <w:pPr>
        <w:pStyle w:val="12"/>
        <w:tabs>
          <w:tab w:val="right" w:leader="dot" w:pos="8296"/>
        </w:tabs>
        <w:rPr>
          <w:rFonts w:asciiTheme="minorHAnsi" w:hAnsiTheme="minorHAnsi" w:eastAsiaTheme="minorEastAsia" w:cstheme="minorBidi"/>
          <w:sz w:val="21"/>
          <w:szCs w:val="22"/>
        </w:rPr>
      </w:pPr>
      <w:r>
        <w:fldChar w:fldCharType="begin"/>
      </w:r>
      <w:r>
        <w:instrText xml:space="preserve"> HYPERLINK \l "_Toc52559661" </w:instrText>
      </w:r>
      <w:r>
        <w:fldChar w:fldCharType="separate"/>
      </w:r>
      <w:r>
        <w:rPr>
          <w:rStyle w:val="16"/>
          <w:rFonts w:hint="eastAsia" w:ascii="仿宋" w:hAnsi="仿宋"/>
        </w:rPr>
        <w:t>（三）数据汇聚通道准备</w:t>
      </w:r>
      <w:r>
        <w:tab/>
      </w:r>
      <w:r>
        <w:fldChar w:fldCharType="begin"/>
      </w:r>
      <w:r>
        <w:instrText xml:space="preserve"> PAGEREF _Toc52559661 \h </w:instrText>
      </w:r>
      <w:r>
        <w:fldChar w:fldCharType="separate"/>
      </w:r>
      <w:r>
        <w:t>2</w:t>
      </w:r>
      <w:r>
        <w:fldChar w:fldCharType="end"/>
      </w:r>
      <w:r>
        <w:fldChar w:fldCharType="end"/>
      </w:r>
    </w:p>
    <w:p>
      <w:pPr>
        <w:pStyle w:val="11"/>
        <w:tabs>
          <w:tab w:val="right" w:leader="dot" w:pos="8296"/>
        </w:tabs>
        <w:rPr>
          <w:rFonts w:asciiTheme="minorHAnsi" w:hAnsiTheme="minorHAnsi" w:eastAsiaTheme="minorEastAsia" w:cstheme="minorBidi"/>
          <w:sz w:val="21"/>
          <w:szCs w:val="22"/>
        </w:rPr>
      </w:pPr>
      <w:r>
        <w:fldChar w:fldCharType="begin"/>
      </w:r>
      <w:r>
        <w:instrText xml:space="preserve"> HYPERLINK \l "_Toc52559662" </w:instrText>
      </w:r>
      <w:r>
        <w:fldChar w:fldCharType="separate"/>
      </w:r>
      <w:r>
        <w:rPr>
          <w:rStyle w:val="16"/>
          <w:rFonts w:hint="eastAsia" w:ascii="黑体" w:hAnsi="黑体" w:eastAsia="黑体" w:cs="宋体"/>
        </w:rPr>
        <w:t>三、</w:t>
      </w:r>
      <w:r>
        <w:rPr>
          <w:rStyle w:val="16"/>
          <w:rFonts w:hint="eastAsia" w:ascii="黑体" w:hAnsi="黑体" w:eastAsia="黑体"/>
        </w:rPr>
        <w:t xml:space="preserve"> 对接实施步骤</w:t>
      </w:r>
      <w:r>
        <w:tab/>
      </w:r>
      <w:r>
        <w:fldChar w:fldCharType="begin"/>
      </w:r>
      <w:r>
        <w:instrText xml:space="preserve"> PAGEREF _Toc52559662 \h </w:instrText>
      </w:r>
      <w:r>
        <w:fldChar w:fldCharType="separate"/>
      </w:r>
      <w:r>
        <w:t>2</w:t>
      </w:r>
      <w:r>
        <w:fldChar w:fldCharType="end"/>
      </w:r>
      <w:r>
        <w:fldChar w:fldCharType="end"/>
      </w:r>
    </w:p>
    <w:p>
      <w:pPr>
        <w:pStyle w:val="12"/>
        <w:tabs>
          <w:tab w:val="right" w:leader="dot" w:pos="8296"/>
        </w:tabs>
        <w:rPr>
          <w:rFonts w:asciiTheme="minorHAnsi" w:hAnsiTheme="minorHAnsi" w:eastAsiaTheme="minorEastAsia" w:cstheme="minorBidi"/>
          <w:sz w:val="21"/>
          <w:szCs w:val="22"/>
        </w:rPr>
      </w:pPr>
      <w:r>
        <w:fldChar w:fldCharType="begin"/>
      </w:r>
      <w:r>
        <w:instrText xml:space="preserve"> HYPERLINK \l "_Toc52559663" </w:instrText>
      </w:r>
      <w:r>
        <w:fldChar w:fldCharType="separate"/>
      </w:r>
      <w:r>
        <w:rPr>
          <w:rStyle w:val="16"/>
          <w:rFonts w:hint="eastAsia" w:ascii="仿宋" w:hAnsi="仿宋"/>
        </w:rPr>
        <w:t>（一）数据对接工作</w:t>
      </w:r>
      <w:r>
        <w:tab/>
      </w:r>
      <w:r>
        <w:fldChar w:fldCharType="begin"/>
      </w:r>
      <w:r>
        <w:instrText xml:space="preserve"> PAGEREF _Toc52559663 \h </w:instrText>
      </w:r>
      <w:r>
        <w:fldChar w:fldCharType="separate"/>
      </w:r>
      <w:r>
        <w:t>2</w:t>
      </w:r>
      <w:r>
        <w:fldChar w:fldCharType="end"/>
      </w:r>
      <w:r>
        <w:fldChar w:fldCharType="end"/>
      </w:r>
    </w:p>
    <w:p>
      <w:pPr>
        <w:pStyle w:val="12"/>
        <w:tabs>
          <w:tab w:val="right" w:leader="dot" w:pos="8296"/>
        </w:tabs>
        <w:rPr>
          <w:rFonts w:asciiTheme="minorHAnsi" w:hAnsiTheme="minorHAnsi" w:eastAsiaTheme="minorEastAsia" w:cstheme="minorBidi"/>
          <w:sz w:val="21"/>
          <w:szCs w:val="22"/>
        </w:rPr>
      </w:pPr>
      <w:r>
        <w:fldChar w:fldCharType="begin"/>
      </w:r>
      <w:r>
        <w:instrText xml:space="preserve"> HYPERLINK \l "_Toc52559664" </w:instrText>
      </w:r>
      <w:r>
        <w:fldChar w:fldCharType="separate"/>
      </w:r>
      <w:r>
        <w:rPr>
          <w:rStyle w:val="16"/>
          <w:rFonts w:hint="eastAsia" w:ascii="仿宋" w:hAnsi="仿宋"/>
        </w:rPr>
        <w:t>（二）服务对接工作</w:t>
      </w:r>
      <w:r>
        <w:tab/>
      </w:r>
      <w:r>
        <w:fldChar w:fldCharType="begin"/>
      </w:r>
      <w:r>
        <w:instrText xml:space="preserve"> PAGEREF _Toc52559664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cstheme="minorBidi"/>
          <w:sz w:val="21"/>
          <w:szCs w:val="22"/>
        </w:rPr>
      </w:pPr>
      <w:r>
        <w:fldChar w:fldCharType="begin"/>
      </w:r>
      <w:r>
        <w:instrText xml:space="preserve"> HYPERLINK \l "_Toc52559665" </w:instrText>
      </w:r>
      <w:r>
        <w:fldChar w:fldCharType="separate"/>
      </w:r>
      <w:r>
        <w:rPr>
          <w:rStyle w:val="16"/>
          <w:rFonts w:hint="eastAsia" w:ascii="黑体" w:hAnsi="黑体" w:eastAsia="黑体" w:cs="宋体"/>
        </w:rPr>
        <w:t>四、</w:t>
      </w:r>
      <w:r>
        <w:rPr>
          <w:rStyle w:val="16"/>
          <w:rFonts w:hint="eastAsia" w:ascii="黑体" w:hAnsi="黑体" w:eastAsia="黑体"/>
        </w:rPr>
        <w:t xml:space="preserve"> 数据安全保障内容</w:t>
      </w:r>
      <w:r>
        <w:tab/>
      </w:r>
      <w:r>
        <w:fldChar w:fldCharType="begin"/>
      </w:r>
      <w:r>
        <w:instrText xml:space="preserve"> PAGEREF _Toc52559665 \h </w:instrText>
      </w:r>
      <w:r>
        <w:fldChar w:fldCharType="separate"/>
      </w:r>
      <w:r>
        <w:t>3</w:t>
      </w:r>
      <w:r>
        <w:fldChar w:fldCharType="end"/>
      </w:r>
      <w:r>
        <w:fldChar w:fldCharType="end"/>
      </w:r>
    </w:p>
    <w:p>
      <w:pPr>
        <w:pStyle w:val="12"/>
        <w:tabs>
          <w:tab w:val="right" w:leader="dot" w:pos="8296"/>
        </w:tabs>
        <w:rPr>
          <w:rFonts w:asciiTheme="minorHAnsi" w:hAnsiTheme="minorHAnsi" w:eastAsiaTheme="minorEastAsia" w:cstheme="minorBidi"/>
          <w:sz w:val="21"/>
          <w:szCs w:val="22"/>
        </w:rPr>
      </w:pPr>
      <w:r>
        <w:fldChar w:fldCharType="begin"/>
      </w:r>
      <w:r>
        <w:instrText xml:space="preserve"> HYPERLINK \l "_Toc52559666" </w:instrText>
      </w:r>
      <w:r>
        <w:fldChar w:fldCharType="separate"/>
      </w:r>
      <w:r>
        <w:rPr>
          <w:rStyle w:val="16"/>
          <w:rFonts w:hint="eastAsia" w:ascii="仿宋" w:hAnsi="仿宋"/>
        </w:rPr>
        <w:t>（一）数据对账排查</w:t>
      </w:r>
      <w:r>
        <w:tab/>
      </w:r>
      <w:r>
        <w:fldChar w:fldCharType="begin"/>
      </w:r>
      <w:r>
        <w:instrText xml:space="preserve"> PAGEREF _Toc52559666 \h </w:instrText>
      </w:r>
      <w:r>
        <w:fldChar w:fldCharType="separate"/>
      </w:r>
      <w:r>
        <w:t>3</w:t>
      </w:r>
      <w:r>
        <w:fldChar w:fldCharType="end"/>
      </w:r>
      <w:r>
        <w:fldChar w:fldCharType="end"/>
      </w:r>
    </w:p>
    <w:p>
      <w:pPr>
        <w:pStyle w:val="12"/>
        <w:tabs>
          <w:tab w:val="right" w:leader="dot" w:pos="8296"/>
        </w:tabs>
        <w:rPr>
          <w:rFonts w:asciiTheme="minorHAnsi" w:hAnsiTheme="minorHAnsi" w:eastAsiaTheme="minorEastAsia" w:cstheme="minorBidi"/>
          <w:sz w:val="21"/>
          <w:szCs w:val="22"/>
        </w:rPr>
      </w:pPr>
      <w:r>
        <w:fldChar w:fldCharType="begin"/>
      </w:r>
      <w:r>
        <w:instrText xml:space="preserve"> HYPERLINK \l "_Toc52559667" </w:instrText>
      </w:r>
      <w:r>
        <w:fldChar w:fldCharType="separate"/>
      </w:r>
      <w:r>
        <w:rPr>
          <w:rStyle w:val="16"/>
          <w:rFonts w:hint="eastAsia" w:ascii="仿宋" w:hAnsi="仿宋"/>
        </w:rPr>
        <w:t>（二）数据安全管理</w:t>
      </w:r>
      <w:r>
        <w:tab/>
      </w:r>
      <w:r>
        <w:fldChar w:fldCharType="begin"/>
      </w:r>
      <w:r>
        <w:instrText xml:space="preserve"> PAGEREF _Toc52559667 \h </w:instrText>
      </w:r>
      <w:r>
        <w:fldChar w:fldCharType="separate"/>
      </w:r>
      <w:r>
        <w:t>4</w:t>
      </w:r>
      <w:r>
        <w:fldChar w:fldCharType="end"/>
      </w:r>
      <w:r>
        <w:fldChar w:fldCharType="end"/>
      </w:r>
    </w:p>
    <w:p>
      <w:pPr>
        <w:pStyle w:val="2"/>
        <w:ind w:firstLine="422"/>
        <w:sectPr>
          <w:pgSz w:w="11906" w:h="16838"/>
          <w:pgMar w:top="1440" w:right="1800" w:bottom="1440" w:left="1800" w:header="851" w:footer="992" w:gutter="0"/>
          <w:pgNumType w:fmt="upperRoman" w:start="1"/>
          <w:cols w:space="425" w:num="1"/>
          <w:docGrid w:type="lines" w:linePitch="312" w:charSpace="0"/>
        </w:sectPr>
      </w:pPr>
      <w:r>
        <w:rPr>
          <w:b/>
          <w:bCs/>
          <w:lang w:val="zh-CN"/>
        </w:rPr>
        <w:fldChar w:fldCharType="end"/>
      </w:r>
      <w:r>
        <w:br w:type="page"/>
      </w:r>
    </w:p>
    <w:p>
      <w:pPr>
        <w:pStyle w:val="3"/>
        <w:rPr>
          <w:rFonts w:ascii="黑体" w:hAnsi="黑体" w:eastAsia="黑体"/>
        </w:rPr>
      </w:pPr>
      <w:bookmarkStart w:id="4" w:name="_Toc52559657"/>
      <w:r>
        <w:rPr>
          <w:rFonts w:hint="eastAsia" w:ascii="黑体" w:hAnsi="黑体" w:eastAsia="黑体"/>
        </w:rPr>
        <w:t>概述</w:t>
      </w:r>
      <w:bookmarkEnd w:id="1"/>
      <w:bookmarkEnd w:id="2"/>
      <w:bookmarkEnd w:id="3"/>
      <w:bookmarkEnd w:id="4"/>
    </w:p>
    <w:p>
      <w:pPr>
        <w:spacing w:line="560" w:lineRule="exact"/>
        <w:ind w:firstLine="640"/>
        <w:rPr>
          <w:rFonts w:ascii="仿宋" w:hAnsi="仿宋" w:eastAsia="仿宋"/>
          <w:sz w:val="32"/>
          <w:szCs w:val="32"/>
        </w:rPr>
      </w:pPr>
      <w:r>
        <w:rPr>
          <w:rFonts w:hint="eastAsia" w:ascii="仿宋" w:hAnsi="仿宋" w:eastAsia="仿宋"/>
          <w:sz w:val="32"/>
          <w:szCs w:val="32"/>
        </w:rPr>
        <w:t>为深入贯彻《国务院关于加快推进全国一体化在线政务服务平台建设的指导意见》（国发〔2018〕27号）、《辽宁省加快推进全省一体化在线政务服务平台建设实施方案》（辽政发〔2019〕5号）文件精神，依托省政务信息资源共享交换平台和市级数据共享交换平台，支撑省级政务服务平台汇聚各市级政务服务平台的证照、办件等业务数据，向各市级政务服务平台推送异常证照、办件等业务数据，实现政务服务数据的汇聚及推送。总体架构图如下：</w:t>
      </w:r>
    </w:p>
    <w:p>
      <w:pPr>
        <w:autoSpaceDE w:val="0"/>
        <w:autoSpaceDN w:val="0"/>
        <w:adjustRightInd w:val="0"/>
        <w:ind w:firstLine="0" w:firstLineChars="0"/>
        <w:jc w:val="center"/>
        <w:rPr>
          <w:rFonts w:ascii="仿宋_GB2312" w:eastAsia="仿宋_GB2312" w:cs="Times New Roman"/>
          <w:color w:val="000000" w:themeColor="text1"/>
          <w:sz w:val="32"/>
          <w:szCs w:val="32"/>
          <w14:textFill>
            <w14:solidFill>
              <w14:schemeClr w14:val="tx1"/>
            </w14:solidFill>
          </w14:textFill>
        </w:rPr>
      </w:pPr>
      <w:r>
        <w:drawing>
          <wp:inline distT="0" distB="0" distL="114300" distR="114300">
            <wp:extent cx="5173980" cy="4259580"/>
            <wp:effectExtent l="0" t="0" r="7620" b="7620"/>
            <wp:docPr id="2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
                    <pic:cNvPicPr>
                      <a:picLocks noChangeAspect="1"/>
                    </pic:cNvPicPr>
                  </pic:nvPicPr>
                  <pic:blipFill>
                    <a:blip r:embed="rId10"/>
                    <a:stretch>
                      <a:fillRect/>
                    </a:stretch>
                  </pic:blipFill>
                  <pic:spPr>
                    <a:xfrm>
                      <a:off x="0" y="0"/>
                      <a:ext cx="5173980" cy="4259580"/>
                    </a:xfrm>
                    <a:prstGeom prst="rect">
                      <a:avLst/>
                    </a:prstGeom>
                    <a:noFill/>
                    <a:ln>
                      <a:noFill/>
                    </a:ln>
                  </pic:spPr>
                </pic:pic>
              </a:graphicData>
            </a:graphic>
          </wp:inline>
        </w:drawing>
      </w:r>
    </w:p>
    <w:p>
      <w:pPr>
        <w:pStyle w:val="3"/>
        <w:rPr>
          <w:rFonts w:ascii="黑体" w:hAnsi="黑体" w:eastAsia="黑体"/>
        </w:rPr>
      </w:pPr>
      <w:bookmarkStart w:id="5" w:name="_Toc29764"/>
      <w:bookmarkStart w:id="6" w:name="_Toc24123481"/>
      <w:bookmarkStart w:id="7" w:name="_Toc21752"/>
      <w:bookmarkStart w:id="8" w:name="_Toc52559658"/>
      <w:r>
        <w:rPr>
          <w:rFonts w:hint="eastAsia" w:ascii="黑体" w:hAnsi="黑体" w:eastAsia="黑体"/>
        </w:rPr>
        <w:t>对接准备工作</w:t>
      </w:r>
      <w:bookmarkEnd w:id="5"/>
      <w:bookmarkEnd w:id="6"/>
      <w:bookmarkEnd w:id="7"/>
      <w:bookmarkEnd w:id="8"/>
    </w:p>
    <w:p>
      <w:pPr>
        <w:spacing w:line="560" w:lineRule="exact"/>
        <w:ind w:firstLine="640"/>
        <w:rPr>
          <w:rFonts w:ascii="仿宋" w:hAnsi="仿宋" w:eastAsia="仿宋"/>
          <w:sz w:val="32"/>
          <w:szCs w:val="32"/>
        </w:rPr>
      </w:pPr>
      <w:r>
        <w:rPr>
          <w:rFonts w:hint="eastAsia" w:ascii="仿宋" w:hAnsi="仿宋" w:eastAsia="仿宋"/>
          <w:sz w:val="32"/>
          <w:szCs w:val="32"/>
        </w:rPr>
        <w:t>各部门对接省级政务服务平台汇聚数据时，应提前准备以下工作：</w:t>
      </w:r>
    </w:p>
    <w:p>
      <w:pPr>
        <w:pStyle w:val="4"/>
        <w:numPr>
          <w:ilvl w:val="0"/>
          <w:numId w:val="0"/>
        </w:numPr>
        <w:ind w:left="571" w:leftChars="272"/>
        <w:rPr>
          <w:rFonts w:ascii="仿宋" w:hAnsi="仿宋" w:eastAsia="仿宋"/>
          <w:sz w:val="32"/>
          <w:szCs w:val="32"/>
        </w:rPr>
      </w:pPr>
      <w:bookmarkStart w:id="9" w:name="_Toc24123482"/>
      <w:bookmarkStart w:id="10" w:name="_Toc10262"/>
      <w:bookmarkStart w:id="11" w:name="_Toc52559659"/>
      <w:bookmarkStart w:id="12" w:name="_Toc2961"/>
      <w:r>
        <w:rPr>
          <w:rFonts w:hint="eastAsia" w:ascii="仿宋" w:hAnsi="仿宋" w:eastAsia="仿宋"/>
          <w:sz w:val="32"/>
          <w:szCs w:val="32"/>
        </w:rPr>
        <w:t>（一）对接环境准备</w:t>
      </w:r>
      <w:bookmarkEnd w:id="9"/>
      <w:bookmarkEnd w:id="10"/>
      <w:bookmarkEnd w:id="11"/>
      <w:bookmarkEnd w:id="12"/>
    </w:p>
    <w:p>
      <w:pPr>
        <w:spacing w:line="560" w:lineRule="exact"/>
        <w:ind w:firstLine="640"/>
        <w:rPr>
          <w:rFonts w:ascii="仿宋" w:hAnsi="仿宋" w:eastAsia="仿宋"/>
          <w:sz w:val="32"/>
          <w:szCs w:val="32"/>
        </w:rPr>
      </w:pPr>
      <w:r>
        <w:rPr>
          <w:rFonts w:hint="eastAsia" w:ascii="仿宋" w:hAnsi="仿宋" w:eastAsia="仿宋"/>
          <w:sz w:val="32"/>
          <w:szCs w:val="32"/>
        </w:rPr>
        <w:t>反馈与省共享交换平台对接的各部门对接服务器的IP、端口，用于省级共享交换平台开放安全策略。</w:t>
      </w:r>
    </w:p>
    <w:p>
      <w:pPr>
        <w:pStyle w:val="4"/>
        <w:numPr>
          <w:ilvl w:val="0"/>
          <w:numId w:val="0"/>
        </w:numPr>
        <w:ind w:left="571" w:leftChars="272"/>
        <w:rPr>
          <w:rFonts w:ascii="仿宋" w:hAnsi="仿宋" w:eastAsia="仿宋"/>
          <w:sz w:val="32"/>
          <w:szCs w:val="32"/>
        </w:rPr>
      </w:pPr>
      <w:bookmarkStart w:id="13" w:name="_Toc24123483"/>
      <w:bookmarkStart w:id="14" w:name="_Toc10169"/>
      <w:bookmarkStart w:id="15" w:name="_Toc52559660"/>
      <w:bookmarkStart w:id="16" w:name="_Toc8798"/>
      <w:r>
        <w:rPr>
          <w:rFonts w:hint="eastAsia" w:ascii="仿宋" w:hAnsi="仿宋" w:eastAsia="仿宋"/>
          <w:sz w:val="32"/>
          <w:szCs w:val="32"/>
        </w:rPr>
        <w:t>（二）网络准备</w:t>
      </w:r>
      <w:bookmarkEnd w:id="13"/>
      <w:bookmarkEnd w:id="14"/>
      <w:bookmarkEnd w:id="15"/>
      <w:bookmarkEnd w:id="16"/>
    </w:p>
    <w:p>
      <w:pPr>
        <w:spacing w:line="560" w:lineRule="exact"/>
        <w:ind w:firstLine="640"/>
        <w:rPr>
          <w:rFonts w:ascii="仿宋" w:hAnsi="仿宋" w:eastAsia="仿宋"/>
          <w:sz w:val="32"/>
          <w:szCs w:val="32"/>
        </w:rPr>
      </w:pPr>
      <w:r>
        <w:rPr>
          <w:rFonts w:hint="eastAsia" w:ascii="仿宋" w:hAnsi="仿宋" w:eastAsia="仿宋"/>
          <w:sz w:val="32"/>
          <w:szCs w:val="32"/>
        </w:rPr>
        <w:t>配合省共享交换平台技术人员调试网络，需接入省级电子政务外网。</w:t>
      </w:r>
    </w:p>
    <w:p>
      <w:pPr>
        <w:pStyle w:val="4"/>
        <w:numPr>
          <w:ilvl w:val="0"/>
          <w:numId w:val="0"/>
        </w:numPr>
        <w:ind w:left="571" w:leftChars="272"/>
        <w:rPr>
          <w:rFonts w:ascii="仿宋" w:hAnsi="仿宋" w:eastAsia="仿宋"/>
          <w:sz w:val="32"/>
          <w:szCs w:val="32"/>
        </w:rPr>
      </w:pPr>
      <w:bookmarkStart w:id="17" w:name="_Toc13180"/>
      <w:bookmarkStart w:id="18" w:name="_Toc4696"/>
      <w:bookmarkStart w:id="19" w:name="_Toc52559661"/>
      <w:bookmarkStart w:id="20" w:name="_Toc24123484"/>
      <w:r>
        <w:rPr>
          <w:rFonts w:hint="eastAsia" w:ascii="仿宋" w:hAnsi="仿宋" w:eastAsia="仿宋"/>
          <w:sz w:val="32"/>
          <w:szCs w:val="32"/>
        </w:rPr>
        <w:t>（三）数据汇聚通道准备</w:t>
      </w:r>
      <w:bookmarkEnd w:id="17"/>
      <w:bookmarkEnd w:id="18"/>
      <w:bookmarkEnd w:id="19"/>
      <w:bookmarkEnd w:id="20"/>
    </w:p>
    <w:p>
      <w:pPr>
        <w:spacing w:line="560" w:lineRule="exact"/>
        <w:ind w:firstLine="640"/>
        <w:rPr>
          <w:rFonts w:ascii="仿宋" w:hAnsi="仿宋" w:eastAsia="仿宋"/>
          <w:sz w:val="32"/>
          <w:szCs w:val="32"/>
        </w:rPr>
      </w:pPr>
      <w:r>
        <w:rPr>
          <w:rFonts w:hint="eastAsia" w:ascii="仿宋" w:hAnsi="仿宋" w:eastAsia="仿宋"/>
          <w:sz w:val="32"/>
          <w:szCs w:val="32"/>
        </w:rPr>
        <w:t>配合省共享交换平台技术人在单位前置机上部署数据交换工具，测试交换通道是否畅通。</w:t>
      </w:r>
    </w:p>
    <w:p>
      <w:pPr>
        <w:pStyle w:val="3"/>
        <w:rPr>
          <w:rFonts w:ascii="黑体" w:hAnsi="黑体" w:eastAsia="黑体"/>
        </w:rPr>
      </w:pPr>
      <w:bookmarkStart w:id="21" w:name="_Toc52559662"/>
      <w:bookmarkStart w:id="22" w:name="_Toc24123485"/>
      <w:bookmarkStart w:id="23" w:name="_Toc22629"/>
      <w:bookmarkStart w:id="24" w:name="_Toc31924"/>
      <w:r>
        <w:rPr>
          <w:rFonts w:hint="eastAsia" w:ascii="黑体" w:hAnsi="黑体" w:eastAsia="黑体"/>
        </w:rPr>
        <w:t>对接实施步骤</w:t>
      </w:r>
      <w:bookmarkEnd w:id="21"/>
    </w:p>
    <w:p>
      <w:pPr>
        <w:pStyle w:val="4"/>
        <w:numPr>
          <w:ilvl w:val="0"/>
          <w:numId w:val="0"/>
        </w:numPr>
        <w:ind w:left="571" w:leftChars="272"/>
        <w:rPr>
          <w:rFonts w:ascii="仿宋" w:hAnsi="仿宋" w:eastAsia="仿宋"/>
          <w:sz w:val="32"/>
          <w:szCs w:val="32"/>
        </w:rPr>
      </w:pPr>
      <w:bookmarkStart w:id="25" w:name="_Toc52559663"/>
      <w:r>
        <w:rPr>
          <w:rFonts w:hint="eastAsia" w:ascii="仿宋" w:hAnsi="仿宋" w:eastAsia="仿宋"/>
          <w:sz w:val="32"/>
          <w:szCs w:val="32"/>
        </w:rPr>
        <w:t>（一）数据对接工作</w:t>
      </w:r>
      <w:bookmarkEnd w:id="22"/>
      <w:bookmarkEnd w:id="23"/>
      <w:bookmarkEnd w:id="24"/>
      <w:bookmarkEnd w:id="25"/>
    </w:p>
    <w:p>
      <w:pPr>
        <w:spacing w:line="560" w:lineRule="exact"/>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使用省信息中心下发的部门前置机或省市级联前置服务器，在服务器上安装数据库（数据库类型、版本等信息可自行决定）。</w:t>
      </w:r>
    </w:p>
    <w:p>
      <w:pPr>
        <w:spacing w:line="560" w:lineRule="exact"/>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按照事项、证照、办件业务等系统制定的数据对接标准，在前置机数据库上进行建表操作，将证照、办件</w:t>
      </w:r>
      <w:r>
        <w:rPr>
          <w:rFonts w:ascii="仿宋" w:hAnsi="仿宋" w:eastAsia="仿宋"/>
          <w:sz w:val="32"/>
          <w:szCs w:val="32"/>
        </w:rPr>
        <w:t>数据</w:t>
      </w:r>
      <w:r>
        <w:rPr>
          <w:rFonts w:hint="eastAsia" w:ascii="仿宋" w:hAnsi="仿宋" w:eastAsia="仿宋"/>
          <w:sz w:val="32"/>
          <w:szCs w:val="32"/>
        </w:rPr>
        <w:t>批量</w:t>
      </w:r>
      <w:r>
        <w:rPr>
          <w:rFonts w:ascii="仿宋" w:hAnsi="仿宋" w:eastAsia="仿宋"/>
          <w:sz w:val="32"/>
          <w:szCs w:val="32"/>
        </w:rPr>
        <w:t>上报到</w:t>
      </w:r>
      <w:r>
        <w:rPr>
          <w:rFonts w:hint="eastAsia" w:ascii="仿宋" w:hAnsi="仿宋" w:eastAsia="仿宋"/>
          <w:sz w:val="32"/>
          <w:szCs w:val="32"/>
        </w:rPr>
        <w:t>前置机中。与省事项库确认事项数据推送标准后，省共享交换平台将数据推送至前置机中</w:t>
      </w:r>
      <w:r>
        <w:rPr>
          <w:rFonts w:ascii="仿宋" w:hAnsi="仿宋" w:eastAsia="仿宋"/>
          <w:sz w:val="32"/>
          <w:szCs w:val="32"/>
        </w:rPr>
        <w:t>。</w:t>
      </w:r>
    </w:p>
    <w:p>
      <w:pPr>
        <w:spacing w:line="560" w:lineRule="exact"/>
        <w:ind w:firstLine="64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各市自建系统将办件信息等数据，通过各市一体化平台统一进行汇聚、质检，汇聚完成后通过省级共享交换平台将数据上报至省一体化平台。</w:t>
      </w:r>
    </w:p>
    <w:p>
      <w:pPr>
        <w:spacing w:line="560" w:lineRule="exact"/>
        <w:ind w:firstLine="64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根据证照、办件系统的数据采集要求及数据更新频率要求对数据进行定期推送。</w:t>
      </w:r>
    </w:p>
    <w:p>
      <w:pPr>
        <w:spacing w:line="560" w:lineRule="exact"/>
        <w:ind w:firstLine="64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sz w:val="32"/>
          <w:szCs w:val="32"/>
        </w:rPr>
        <w:t>在省级共享交换平台订阅对应部门证照、办件异常数据信息。</w:t>
      </w:r>
    </w:p>
    <w:p>
      <w:pPr>
        <w:spacing w:line="560" w:lineRule="exact"/>
        <w:ind w:firstLine="64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.接收异常数据，处理异常数据，并且重新上报。</w:t>
      </w:r>
    </w:p>
    <w:p>
      <w:pPr>
        <w:pStyle w:val="4"/>
        <w:numPr>
          <w:ilvl w:val="0"/>
          <w:numId w:val="0"/>
        </w:numPr>
        <w:ind w:left="571" w:leftChars="272"/>
        <w:rPr>
          <w:rFonts w:ascii="仿宋" w:hAnsi="仿宋" w:eastAsia="仿宋"/>
          <w:sz w:val="32"/>
          <w:szCs w:val="32"/>
        </w:rPr>
      </w:pPr>
      <w:bookmarkStart w:id="26" w:name="_Toc52559664"/>
      <w:r>
        <w:rPr>
          <w:rFonts w:hint="eastAsia" w:ascii="仿宋" w:hAnsi="仿宋" w:eastAsia="仿宋"/>
          <w:sz w:val="32"/>
          <w:szCs w:val="32"/>
        </w:rPr>
        <w:t>（二）服务对接工作</w:t>
      </w:r>
      <w:bookmarkEnd w:id="26"/>
    </w:p>
    <w:p>
      <w:pPr>
        <w:spacing w:line="560" w:lineRule="exact"/>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登录省共享交换平台，申请证照服务接口，用于省自建系统、各市业务系统对接省电子证照系统。</w:t>
      </w:r>
    </w:p>
    <w:p>
      <w:pPr>
        <w:spacing w:line="560" w:lineRule="exact"/>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申请审批通过后，向省共享交换平台提交调用服务IP地址，省共享交换平台用于白名单开放。</w:t>
      </w:r>
    </w:p>
    <w:p>
      <w:pPr>
        <w:spacing w:line="560" w:lineRule="exact"/>
        <w:ind w:firstLine="64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联系省共享交换平台技术人员根据审批授权信息对服务接口进行联通性测试工作。</w:t>
      </w:r>
    </w:p>
    <w:p>
      <w:pPr>
        <w:spacing w:line="560" w:lineRule="exact"/>
        <w:ind w:firstLine="64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测试完成后联系省电子证照技术人员进行业务对接。</w:t>
      </w:r>
    </w:p>
    <w:p>
      <w:pPr>
        <w:pStyle w:val="3"/>
        <w:rPr>
          <w:rFonts w:ascii="黑体" w:hAnsi="黑体" w:eastAsia="黑体"/>
        </w:rPr>
      </w:pPr>
      <w:bookmarkStart w:id="27" w:name="_Toc27374"/>
      <w:bookmarkStart w:id="28" w:name="_Toc24123486"/>
      <w:bookmarkStart w:id="29" w:name="_Toc52559665"/>
      <w:bookmarkStart w:id="30" w:name="_Toc30211"/>
      <w:r>
        <w:rPr>
          <w:rFonts w:hint="eastAsia" w:ascii="黑体" w:hAnsi="黑体" w:eastAsia="黑体"/>
        </w:rPr>
        <w:t>数据安全保障内容</w:t>
      </w:r>
      <w:bookmarkEnd w:id="27"/>
      <w:bookmarkEnd w:id="28"/>
      <w:bookmarkEnd w:id="29"/>
      <w:bookmarkEnd w:id="30"/>
    </w:p>
    <w:p>
      <w:pPr>
        <w:pStyle w:val="4"/>
        <w:numPr>
          <w:ilvl w:val="0"/>
          <w:numId w:val="0"/>
        </w:numPr>
        <w:ind w:left="571" w:leftChars="272"/>
        <w:rPr>
          <w:rFonts w:ascii="仿宋" w:hAnsi="仿宋" w:eastAsia="仿宋"/>
          <w:sz w:val="32"/>
          <w:szCs w:val="32"/>
        </w:rPr>
      </w:pPr>
      <w:bookmarkStart w:id="31" w:name="_Toc25076"/>
      <w:bookmarkStart w:id="32" w:name="_Toc24123487"/>
      <w:bookmarkStart w:id="33" w:name="_Toc52559666"/>
      <w:bookmarkStart w:id="34" w:name="_Toc27424"/>
      <w:r>
        <w:rPr>
          <w:rFonts w:hint="eastAsia" w:ascii="仿宋" w:hAnsi="仿宋" w:eastAsia="仿宋"/>
          <w:sz w:val="32"/>
          <w:szCs w:val="32"/>
        </w:rPr>
        <w:t>（一）数据对账排查</w:t>
      </w:r>
      <w:bookmarkEnd w:id="31"/>
      <w:bookmarkEnd w:id="32"/>
      <w:bookmarkEnd w:id="33"/>
      <w:bookmarkEnd w:id="34"/>
    </w:p>
    <w:p>
      <w:pPr>
        <w:ind w:firstLine="640"/>
        <w:rPr>
          <w:rFonts w:ascii="仿宋" w:hAnsi="仿宋" w:eastAsia="仿宋"/>
          <w:sz w:val="32"/>
          <w:szCs w:val="32"/>
        </w:rPr>
      </w:pPr>
      <w:r>
        <w:rPr>
          <w:rFonts w:hint="eastAsia" w:ascii="仿宋" w:hAnsi="仿宋" w:eastAsia="仿宋"/>
          <w:sz w:val="32"/>
          <w:szCs w:val="32"/>
        </w:rPr>
        <w:t>省级政务服务平台汇聚的数据量与各部门各业务系统提供的数据量不一致时，按照以下步骤进行排查:</w:t>
      </w:r>
    </w:p>
    <w:p>
      <w:pPr>
        <w:spacing w:line="560" w:lineRule="exact"/>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各部门各业务系统，确认同步到前置库的数据量，向省共享交换平台反馈接收到的数据量是否一致。如果不一致，需省共享交换平台排查解决。</w:t>
      </w:r>
    </w:p>
    <w:p>
      <w:pPr>
        <w:spacing w:line="560" w:lineRule="exact"/>
        <w:ind w:firstLine="640"/>
        <w:rPr>
          <w:rFonts w:hint="eastAsia"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如果在数据写入省政务服务平台前置库的过程中，因原始数据有问题导致入库失败，由省共享交换平台统计入库失败数据，并告知各部门各业务系统，各部门各业务系统对错误数据进行修改后重新上传。</w:t>
      </w:r>
    </w:p>
    <w:p>
      <w:pPr>
        <w:pStyle w:val="2"/>
        <w:rPr>
          <w:rFonts w:hint="default" w:eastAsia="仿宋"/>
          <w:lang w:val="en-US" w:eastAsia="zh-CN"/>
        </w:rPr>
      </w:pPr>
      <w:r>
        <w:rPr>
          <w:rFonts w:hint="eastAsia" w:ascii="仿宋" w:hAnsi="仿宋" w:eastAsia="仿宋"/>
          <w:sz w:val="32"/>
          <w:szCs w:val="32"/>
          <w:lang w:val="en-US" w:eastAsia="zh-CN"/>
        </w:rPr>
        <w:t>3.</w:t>
      </w:r>
      <w:r>
        <w:rPr>
          <w:rFonts w:hint="eastAsia" w:ascii="仿宋" w:hAnsi="仿宋" w:eastAsia="仿宋"/>
          <w:sz w:val="32"/>
          <w:szCs w:val="32"/>
        </w:rPr>
        <w:t>各部门各业务系统</w:t>
      </w:r>
      <w:r>
        <w:rPr>
          <w:rFonts w:hint="eastAsia" w:ascii="仿宋" w:hAnsi="仿宋" w:eastAsia="仿宋"/>
          <w:sz w:val="32"/>
          <w:szCs w:val="32"/>
          <w:lang w:val="en-US" w:eastAsia="zh-CN"/>
        </w:rPr>
        <w:t>要按照《辽宁省一体化政务服务平台办件数据质检规则》（详见附件）对办件数据进行质检，质检通过后上传至省政务信息资源共享交换平台。</w:t>
      </w:r>
    </w:p>
    <w:p>
      <w:pPr>
        <w:pStyle w:val="4"/>
        <w:numPr>
          <w:ilvl w:val="0"/>
          <w:numId w:val="0"/>
        </w:numPr>
        <w:ind w:left="571" w:leftChars="272"/>
        <w:rPr>
          <w:rFonts w:ascii="仿宋" w:hAnsi="仿宋" w:eastAsia="仿宋"/>
          <w:sz w:val="32"/>
          <w:szCs w:val="32"/>
        </w:rPr>
      </w:pPr>
      <w:bookmarkStart w:id="35" w:name="_Toc24123488"/>
      <w:bookmarkStart w:id="36" w:name="_Toc2267"/>
      <w:bookmarkStart w:id="37" w:name="_Toc6894"/>
      <w:bookmarkStart w:id="38" w:name="_Toc52559667"/>
      <w:r>
        <w:rPr>
          <w:rFonts w:hint="eastAsia" w:ascii="仿宋" w:hAnsi="仿宋" w:eastAsia="仿宋"/>
          <w:sz w:val="32"/>
          <w:szCs w:val="32"/>
        </w:rPr>
        <w:t>（二）数据安全管理</w:t>
      </w:r>
      <w:bookmarkEnd w:id="35"/>
      <w:bookmarkEnd w:id="36"/>
      <w:bookmarkEnd w:id="37"/>
      <w:bookmarkEnd w:id="38"/>
    </w:p>
    <w:p>
      <w:pPr>
        <w:spacing w:line="560" w:lineRule="exact"/>
        <w:ind w:firstLine="640"/>
        <w:rPr>
          <w:rFonts w:ascii="仿宋" w:hAnsi="仿宋" w:eastAsia="仿宋"/>
          <w:sz w:val="32"/>
          <w:szCs w:val="32"/>
        </w:rPr>
      </w:pPr>
      <w:r>
        <w:rPr>
          <w:rFonts w:hint="eastAsia" w:ascii="仿宋" w:hAnsi="仿宋" w:eastAsia="仿宋"/>
          <w:sz w:val="32"/>
          <w:szCs w:val="32"/>
        </w:rPr>
        <w:t>单位前置库作为数据交换的中转存储区域，临时存储大量的业务数据，需要进行严格的数据安全管理。</w:t>
      </w:r>
    </w:p>
    <w:p>
      <w:pPr>
        <w:spacing w:line="560" w:lineRule="exact"/>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各部门各业务系统需要定期删除历史业务数据。</w:t>
      </w:r>
    </w:p>
    <w:p>
      <w:pPr>
        <w:spacing w:line="560" w:lineRule="exact"/>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做好边界访问控制；对账号权限进行严格管理，严禁非授权访问；做好安全审计。</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E48DCD-CAFA-47B7-B00F-90FBE8CF25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9B3AE256-DE57-434D-970D-151302347AA6}"/>
  </w:font>
  <w:font w:name="思源宋体 CN Light">
    <w:altName w:val="Malgun Gothic Semilight"/>
    <w:panose1 w:val="00000000000000000000"/>
    <w:charset w:val="86"/>
    <w:family w:val="auto"/>
    <w:pitch w:val="default"/>
    <w:sig w:usb0="00000000" w:usb1="00000000" w:usb2="00000016" w:usb3="00000000" w:csb0="60060107" w:csb1="00000000"/>
  </w:font>
  <w:font w:name="仿宋">
    <w:panose1 w:val="02010609060101010101"/>
    <w:charset w:val="86"/>
    <w:family w:val="modern"/>
    <w:pitch w:val="default"/>
    <w:sig w:usb0="800002BF" w:usb1="38CF7CFA" w:usb2="00000016" w:usb3="00000000" w:csb0="00040001" w:csb1="00000000"/>
    <w:embedRegular r:id="rId3" w:fontKey="{4B581136-BB65-4ADD-B6C1-E71593462B5A}"/>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4" w:fontKey="{E8D42107-6AB5-4FDB-A631-B9D1E3FE0B02}"/>
  </w:font>
  <w:font w:name="楷体_GB2312">
    <w:panose1 w:val="02010609030101010101"/>
    <w:charset w:val="86"/>
    <w:family w:val="auto"/>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00000" w:csb1="00000000"/>
    <w:embedRegular r:id="rId5" w:fontKey="{37478587-0D31-497D-96F1-8149B054F82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algun Gothic Semilight">
    <w:panose1 w:val="020B0502040204020203"/>
    <w:charset w:val="86"/>
    <w:family w:val="auto"/>
    <w:pitch w:val="default"/>
    <w:sig w:usb0="900002AF" w:usb1="01D77CFB" w:usb2="00000012" w:usb3="00000000" w:csb0="203E01BD" w:csb1="D7FF0000"/>
  </w:font>
  <w:font w:name="方正楷体_GB2312">
    <w:panose1 w:val="02000000000000000000"/>
    <w:charset w:val="86"/>
    <w:family w:val="auto"/>
    <w:pitch w:val="default"/>
    <w:sig w:usb0="A00002BF" w:usb1="184F6CFA" w:usb2="00000012" w:usb3="00000000" w:csb0="00040001" w:csb1="00000000"/>
    <w:embedRegular r:id="rId6" w:fontKey="{DC0F26CA-22B8-45BA-B9A5-A69BA1862E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9223930"/>
      <w:docPartObj>
        <w:docPartGallery w:val="autotext"/>
      </w:docPartObj>
    </w:sdtPr>
    <w:sdtEndPr>
      <w:rPr>
        <w:sz w:val="24"/>
        <w:szCs w:val="24"/>
      </w:rPr>
    </w:sdtEndPr>
    <w:sdtContent>
      <w:p>
        <w:pPr>
          <w:pStyle w:val="9"/>
          <w:ind w:firstLine="36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4</w:t>
        </w:r>
        <w:r>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DE885"/>
    <w:multiLevelType w:val="multilevel"/>
    <w:tmpl w:val="515DE885"/>
    <w:lvl w:ilvl="0" w:tentative="0">
      <w:start w:val="1"/>
      <w:numFmt w:val="chineseCounting"/>
      <w:pStyle w:val="3"/>
      <w:suff w:val="nothing"/>
      <w:lvlText w:val="%1、"/>
      <w:lvlJc w:val="left"/>
      <w:pPr>
        <w:tabs>
          <w:tab w:val="left" w:pos="720"/>
        </w:tabs>
        <w:ind w:left="720" w:firstLine="0"/>
      </w:pPr>
      <w:rPr>
        <w:rFonts w:hint="eastAsia" w:ascii="黑体" w:hAnsi="黑体" w:eastAsia="黑体" w:cs="宋体"/>
        <w:b/>
        <w:i w:val="0"/>
        <w:sz w:val="32"/>
      </w:rPr>
    </w:lvl>
    <w:lvl w:ilvl="1" w:tentative="0">
      <w:start w:val="1"/>
      <w:numFmt w:val="decimal"/>
      <w:pStyle w:val="4"/>
      <w:isLgl/>
      <w:suff w:val="nothing"/>
      <w:lvlText w:val="%1.%2、"/>
      <w:lvlJc w:val="left"/>
      <w:pPr>
        <w:tabs>
          <w:tab w:val="left" w:pos="720"/>
        </w:tabs>
        <w:ind w:left="720" w:firstLine="0"/>
      </w:pPr>
      <w:rPr>
        <w:rFonts w:hint="eastAsia" w:ascii="仿宋" w:hAnsi="仿宋" w:eastAsia="仿宋"/>
        <w:b/>
        <w:i w:val="0"/>
        <w:sz w:val="30"/>
      </w:rPr>
    </w:lvl>
    <w:lvl w:ilvl="2" w:tentative="0">
      <w:start w:val="1"/>
      <w:numFmt w:val="decimal"/>
      <w:pStyle w:val="5"/>
      <w:isLgl/>
      <w:suff w:val="nothing"/>
      <w:lvlText w:val="%1.%2.%3、"/>
      <w:lvlJc w:val="left"/>
      <w:pPr>
        <w:tabs>
          <w:tab w:val="left" w:pos="720"/>
        </w:tabs>
        <w:ind w:left="720" w:firstLine="0"/>
      </w:pPr>
      <w:rPr>
        <w:rFonts w:hint="eastAsia" w:ascii="Times New Roman" w:hAnsi="Times New Roman" w:eastAsia="宋体"/>
        <w:b/>
        <w:i w:val="0"/>
        <w:snapToGrid w:val="0"/>
        <w:spacing w:val="0"/>
        <w:kern w:val="0"/>
        <w:sz w:val="28"/>
      </w:rPr>
    </w:lvl>
    <w:lvl w:ilvl="3" w:tentative="0">
      <w:start w:val="1"/>
      <w:numFmt w:val="decimal"/>
      <w:pStyle w:val="6"/>
      <w:isLgl/>
      <w:suff w:val="nothing"/>
      <w:lvlText w:val="%1.%2.%3.%4、"/>
      <w:lvlJc w:val="left"/>
      <w:pPr>
        <w:tabs>
          <w:tab w:val="left" w:pos="720"/>
        </w:tabs>
        <w:ind w:left="720" w:firstLine="0"/>
      </w:pPr>
      <w:rPr>
        <w:rFonts w:hint="eastAsia" w:ascii="Times New Roman" w:hAnsi="Times New Roman" w:eastAsia="宋体"/>
        <w:b/>
        <w:i w:val="0"/>
        <w:sz w:val="24"/>
      </w:rPr>
    </w:lvl>
    <w:lvl w:ilvl="4" w:tentative="0">
      <w:start w:val="1"/>
      <w:numFmt w:val="decimal"/>
      <w:pStyle w:val="7"/>
      <w:isLgl/>
      <w:suff w:val="nothing"/>
      <w:lvlText w:val="%1.%2.%3.%4.%5、"/>
      <w:lvlJc w:val="left"/>
      <w:pPr>
        <w:tabs>
          <w:tab w:val="left" w:pos="720"/>
        </w:tabs>
        <w:ind w:left="2989" w:hanging="992"/>
      </w:pPr>
      <w:rPr>
        <w:rFonts w:hint="eastAsia" w:ascii="Times New Roman" w:hAnsi="Times New Roman" w:eastAsia="宋体"/>
        <w:b/>
        <w:i w:val="0"/>
        <w:sz w:val="21"/>
      </w:rPr>
    </w:lvl>
    <w:lvl w:ilvl="5" w:tentative="0">
      <w:start w:val="1"/>
      <w:numFmt w:val="decimal"/>
      <w:isLgl/>
      <w:suff w:val="nothing"/>
      <w:lvlText w:val="%1.%2.%3.%4.%5.%6、"/>
      <w:lvlJc w:val="left"/>
      <w:pPr>
        <w:ind w:left="3131" w:hanging="1134"/>
      </w:pPr>
      <w:rPr>
        <w:rFonts w:hint="eastAsia" w:ascii="Times New Roman" w:hAnsi="Times New Roman" w:eastAsia="宋体"/>
        <w:b w:val="0"/>
        <w:i w:val="0"/>
        <w:sz w:val="21"/>
      </w:rPr>
    </w:lvl>
    <w:lvl w:ilvl="6" w:tentative="0">
      <w:start w:val="1"/>
      <w:numFmt w:val="decimal"/>
      <w:lvlText w:val="%1.%2.%3.%4.%5.%6.%7"/>
      <w:lvlJc w:val="left"/>
      <w:pPr>
        <w:ind w:left="1997" w:firstLine="0"/>
      </w:pPr>
      <w:rPr>
        <w:rFonts w:hint="eastAsia"/>
      </w:rPr>
    </w:lvl>
    <w:lvl w:ilvl="7" w:tentative="0">
      <w:start w:val="1"/>
      <w:numFmt w:val="decimal"/>
      <w:lvlText w:val="%1.%2.%3.%4.%5.%6.%7.%8"/>
      <w:lvlJc w:val="left"/>
      <w:pPr>
        <w:ind w:left="1997" w:firstLine="0"/>
      </w:pPr>
      <w:rPr>
        <w:rFonts w:hint="eastAsia"/>
      </w:rPr>
    </w:lvl>
    <w:lvl w:ilvl="8" w:tentative="0">
      <w:start w:val="1"/>
      <w:numFmt w:val="decimal"/>
      <w:lvlText w:val="%1.%2.%3.%4.%5.%6.%7.%8.%9"/>
      <w:lvlJc w:val="left"/>
      <w:pPr>
        <w:ind w:left="1997"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BF"/>
    <w:rsid w:val="000114D7"/>
    <w:rsid w:val="00013087"/>
    <w:rsid w:val="00050FC7"/>
    <w:rsid w:val="00086B96"/>
    <w:rsid w:val="000A571E"/>
    <w:rsid w:val="000B6AEB"/>
    <w:rsid w:val="000C1F2E"/>
    <w:rsid w:val="001312F1"/>
    <w:rsid w:val="00131783"/>
    <w:rsid w:val="00143908"/>
    <w:rsid w:val="0015670E"/>
    <w:rsid w:val="001877A5"/>
    <w:rsid w:val="002964A4"/>
    <w:rsid w:val="002B3A17"/>
    <w:rsid w:val="002E5EBD"/>
    <w:rsid w:val="00386F63"/>
    <w:rsid w:val="00397922"/>
    <w:rsid w:val="003C1308"/>
    <w:rsid w:val="003E6D32"/>
    <w:rsid w:val="003F756E"/>
    <w:rsid w:val="004074A7"/>
    <w:rsid w:val="004E41B4"/>
    <w:rsid w:val="00565A35"/>
    <w:rsid w:val="00574458"/>
    <w:rsid w:val="005B15C8"/>
    <w:rsid w:val="005D7D5D"/>
    <w:rsid w:val="00645C95"/>
    <w:rsid w:val="006B7629"/>
    <w:rsid w:val="006C2AB5"/>
    <w:rsid w:val="006D6699"/>
    <w:rsid w:val="00715F70"/>
    <w:rsid w:val="00730F1B"/>
    <w:rsid w:val="00747FFE"/>
    <w:rsid w:val="00762DD6"/>
    <w:rsid w:val="00782609"/>
    <w:rsid w:val="00850830"/>
    <w:rsid w:val="00866ED7"/>
    <w:rsid w:val="008A279A"/>
    <w:rsid w:val="009860E2"/>
    <w:rsid w:val="009C4FE1"/>
    <w:rsid w:val="009C75D8"/>
    <w:rsid w:val="009E57D0"/>
    <w:rsid w:val="00A03EFE"/>
    <w:rsid w:val="00A65C78"/>
    <w:rsid w:val="00AB13AE"/>
    <w:rsid w:val="00AF3C08"/>
    <w:rsid w:val="00B25051"/>
    <w:rsid w:val="00BD0986"/>
    <w:rsid w:val="00C06828"/>
    <w:rsid w:val="00CA34F5"/>
    <w:rsid w:val="00CC63EA"/>
    <w:rsid w:val="00D03711"/>
    <w:rsid w:val="00D832F7"/>
    <w:rsid w:val="00D83BE9"/>
    <w:rsid w:val="00E577F6"/>
    <w:rsid w:val="00E75DBF"/>
    <w:rsid w:val="00ED7C62"/>
    <w:rsid w:val="00EF325A"/>
    <w:rsid w:val="00F97D0E"/>
    <w:rsid w:val="073E6FFD"/>
    <w:rsid w:val="14E1402D"/>
    <w:rsid w:val="176D4825"/>
    <w:rsid w:val="46C91CF1"/>
    <w:rsid w:val="48412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Times New Roman" w:hAnsi="Times New Roman" w:eastAsia="宋体" w:cs="思源宋体 CN Light"/>
      <w:kern w:val="2"/>
      <w:sz w:val="21"/>
      <w:szCs w:val="24"/>
      <w:lang w:val="en-US" w:eastAsia="zh-CN" w:bidi="ar-SA"/>
    </w:rPr>
  </w:style>
  <w:style w:type="paragraph" w:styleId="3">
    <w:name w:val="heading 1"/>
    <w:basedOn w:val="1"/>
    <w:next w:val="1"/>
    <w:link w:val="19"/>
    <w:qFormat/>
    <w:uiPriority w:val="0"/>
    <w:pPr>
      <w:keepNext/>
      <w:numPr>
        <w:ilvl w:val="0"/>
        <w:numId w:val="1"/>
      </w:numPr>
      <w:spacing w:before="120" w:after="120"/>
      <w:ind w:firstLineChars="0"/>
      <w:outlineLvl w:val="0"/>
    </w:pPr>
    <w:rPr>
      <w:rFonts w:cs="Times New Roman"/>
      <w:b/>
      <w:bCs/>
      <w:sz w:val="32"/>
      <w:szCs w:val="32"/>
    </w:rPr>
  </w:style>
  <w:style w:type="paragraph" w:styleId="4">
    <w:name w:val="heading 2"/>
    <w:basedOn w:val="1"/>
    <w:next w:val="1"/>
    <w:link w:val="20"/>
    <w:unhideWhenUsed/>
    <w:qFormat/>
    <w:uiPriority w:val="0"/>
    <w:pPr>
      <w:keepNext/>
      <w:keepLines/>
      <w:numPr>
        <w:ilvl w:val="1"/>
        <w:numId w:val="1"/>
      </w:numPr>
      <w:tabs>
        <w:tab w:val="left" w:pos="284"/>
      </w:tabs>
      <w:spacing w:before="120" w:after="120"/>
      <w:ind w:firstLineChars="0"/>
      <w:outlineLvl w:val="1"/>
    </w:pPr>
    <w:rPr>
      <w:rFonts w:cs="Times New Roman"/>
      <w:b/>
      <w:bCs/>
      <w:sz w:val="30"/>
      <w:szCs w:val="30"/>
    </w:rPr>
  </w:style>
  <w:style w:type="paragraph" w:styleId="5">
    <w:name w:val="heading 3"/>
    <w:basedOn w:val="1"/>
    <w:next w:val="1"/>
    <w:link w:val="21"/>
    <w:unhideWhenUsed/>
    <w:qFormat/>
    <w:uiPriority w:val="0"/>
    <w:pPr>
      <w:keepNext/>
      <w:keepLines/>
      <w:numPr>
        <w:ilvl w:val="2"/>
        <w:numId w:val="1"/>
      </w:numPr>
      <w:adjustRightInd w:val="0"/>
      <w:spacing w:before="120" w:after="120"/>
      <w:ind w:firstLineChars="0"/>
      <w:outlineLvl w:val="2"/>
    </w:pPr>
    <w:rPr>
      <w:rFonts w:cs="Times New Roman"/>
      <w:b/>
      <w:bCs/>
      <w:sz w:val="28"/>
      <w:szCs w:val="28"/>
    </w:rPr>
  </w:style>
  <w:style w:type="paragraph" w:styleId="6">
    <w:name w:val="heading 4"/>
    <w:basedOn w:val="1"/>
    <w:next w:val="1"/>
    <w:link w:val="22"/>
    <w:unhideWhenUsed/>
    <w:qFormat/>
    <w:uiPriority w:val="0"/>
    <w:pPr>
      <w:keepNext/>
      <w:keepLines/>
      <w:numPr>
        <w:ilvl w:val="3"/>
        <w:numId w:val="1"/>
      </w:numPr>
      <w:tabs>
        <w:tab w:val="left" w:pos="1440"/>
      </w:tabs>
      <w:spacing w:before="120" w:after="120"/>
      <w:outlineLvl w:val="3"/>
    </w:pPr>
    <w:rPr>
      <w:rFonts w:cs="Times New Roman"/>
      <w:b/>
      <w:bCs/>
      <w:sz w:val="24"/>
    </w:rPr>
  </w:style>
  <w:style w:type="paragraph" w:styleId="7">
    <w:name w:val="heading 5"/>
    <w:basedOn w:val="1"/>
    <w:next w:val="1"/>
    <w:link w:val="23"/>
    <w:unhideWhenUsed/>
    <w:qFormat/>
    <w:uiPriority w:val="0"/>
    <w:pPr>
      <w:keepNext/>
      <w:keepLines/>
      <w:numPr>
        <w:ilvl w:val="4"/>
        <w:numId w:val="1"/>
      </w:numPr>
      <w:tabs>
        <w:tab w:val="left" w:pos="1469"/>
      </w:tabs>
      <w:spacing w:before="280" w:after="290" w:line="372" w:lineRule="auto"/>
      <w:ind w:left="0" w:firstLine="0" w:firstLineChars="0"/>
      <w:outlineLvl w:val="4"/>
    </w:pPr>
    <w:rPr>
      <w:b/>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ind w:firstLine="480"/>
    </w:pPr>
    <w:rPr>
      <w:rFonts w:ascii="Calibri" w:hAnsi="Calibri" w:cs="宋体"/>
      <w:color w:val="000000"/>
      <w:szCs w:val="20"/>
    </w:rPr>
  </w:style>
  <w:style w:type="paragraph" w:styleId="8">
    <w:name w:val="toc 3"/>
    <w:basedOn w:val="1"/>
    <w:next w:val="1"/>
    <w:qFormat/>
    <w:uiPriority w:val="39"/>
    <w:pPr>
      <w:snapToGrid w:val="0"/>
      <w:ind w:left="840" w:leftChars="400" w:firstLine="0" w:firstLineChars="0"/>
    </w:pPr>
    <w:rPr>
      <w:rFonts w:ascii="Calibri" w:hAnsi="Calibri" w:eastAsia="仿宋" w:cs="Times New Roman"/>
      <w:sz w:val="32"/>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iPriority w:val="39"/>
    <w:pPr>
      <w:snapToGrid w:val="0"/>
      <w:ind w:firstLine="0" w:firstLineChars="0"/>
    </w:pPr>
    <w:rPr>
      <w:rFonts w:ascii="Calibri" w:hAnsi="Calibri" w:eastAsia="仿宋" w:cs="Times New Roman"/>
      <w:sz w:val="32"/>
    </w:rPr>
  </w:style>
  <w:style w:type="paragraph" w:styleId="12">
    <w:name w:val="toc 2"/>
    <w:basedOn w:val="1"/>
    <w:next w:val="1"/>
    <w:qFormat/>
    <w:uiPriority w:val="39"/>
    <w:pPr>
      <w:snapToGrid w:val="0"/>
      <w:ind w:left="420" w:leftChars="200" w:firstLine="0" w:firstLineChars="0"/>
    </w:pPr>
    <w:rPr>
      <w:rFonts w:ascii="Calibri" w:hAnsi="Calibri" w:eastAsia="仿宋" w:cs="Times New Roman"/>
      <w:sz w:val="32"/>
    </w:rPr>
  </w:style>
  <w:style w:type="paragraph" w:styleId="13">
    <w:name w:val="Title"/>
    <w:basedOn w:val="1"/>
    <w:next w:val="1"/>
    <w:link w:val="25"/>
    <w:qFormat/>
    <w:uiPriority w:val="10"/>
    <w:pPr>
      <w:spacing w:before="240" w:after="60"/>
      <w:jc w:val="center"/>
      <w:outlineLvl w:val="0"/>
    </w:pPr>
    <w:rPr>
      <w:rFonts w:asciiTheme="majorHAnsi" w:hAnsiTheme="majorHAnsi" w:eastAsiaTheme="majorEastAsia" w:cstheme="majorBidi"/>
      <w:b/>
      <w:bCs/>
      <w:sz w:val="32"/>
      <w:szCs w:val="32"/>
    </w:rPr>
  </w:style>
  <w:style w:type="character" w:styleId="16">
    <w:name w:val="Hyperlink"/>
    <w:unhideWhenUsed/>
    <w:qFormat/>
    <w:uiPriority w:val="99"/>
    <w:rPr>
      <w:color w:val="0563C1"/>
      <w:u w:val="single"/>
    </w:rPr>
  </w:style>
  <w:style w:type="character" w:customStyle="1" w:styleId="17">
    <w:name w:val="页眉 Char"/>
    <w:basedOn w:val="15"/>
    <w:link w:val="10"/>
    <w:uiPriority w:val="99"/>
    <w:rPr>
      <w:sz w:val="18"/>
      <w:szCs w:val="18"/>
    </w:rPr>
  </w:style>
  <w:style w:type="character" w:customStyle="1" w:styleId="18">
    <w:name w:val="页脚 Char"/>
    <w:basedOn w:val="15"/>
    <w:link w:val="9"/>
    <w:qFormat/>
    <w:uiPriority w:val="99"/>
    <w:rPr>
      <w:sz w:val="18"/>
      <w:szCs w:val="18"/>
    </w:rPr>
  </w:style>
  <w:style w:type="character" w:customStyle="1" w:styleId="19">
    <w:name w:val="标题 1 Char"/>
    <w:basedOn w:val="15"/>
    <w:link w:val="3"/>
    <w:qFormat/>
    <w:uiPriority w:val="0"/>
    <w:rPr>
      <w:rFonts w:ascii="Times New Roman" w:hAnsi="Times New Roman" w:eastAsia="宋体" w:cs="Times New Roman"/>
      <w:b/>
      <w:bCs/>
      <w:sz w:val="32"/>
      <w:szCs w:val="32"/>
    </w:rPr>
  </w:style>
  <w:style w:type="character" w:customStyle="1" w:styleId="20">
    <w:name w:val="标题 2 Char"/>
    <w:basedOn w:val="15"/>
    <w:link w:val="4"/>
    <w:qFormat/>
    <w:uiPriority w:val="0"/>
    <w:rPr>
      <w:rFonts w:ascii="Times New Roman" w:hAnsi="Times New Roman" w:eastAsia="宋体" w:cs="Times New Roman"/>
      <w:b/>
      <w:bCs/>
      <w:sz w:val="30"/>
      <w:szCs w:val="30"/>
    </w:rPr>
  </w:style>
  <w:style w:type="character" w:customStyle="1" w:styleId="21">
    <w:name w:val="标题 3 Char"/>
    <w:basedOn w:val="15"/>
    <w:link w:val="5"/>
    <w:qFormat/>
    <w:uiPriority w:val="0"/>
    <w:rPr>
      <w:rFonts w:ascii="Times New Roman" w:hAnsi="Times New Roman" w:eastAsia="宋体" w:cs="Times New Roman"/>
      <w:b/>
      <w:bCs/>
      <w:sz w:val="28"/>
      <w:szCs w:val="28"/>
    </w:rPr>
  </w:style>
  <w:style w:type="character" w:customStyle="1" w:styleId="22">
    <w:name w:val="标题 4 Char"/>
    <w:basedOn w:val="15"/>
    <w:link w:val="6"/>
    <w:qFormat/>
    <w:uiPriority w:val="0"/>
    <w:rPr>
      <w:rFonts w:ascii="Times New Roman" w:hAnsi="Times New Roman" w:eastAsia="宋体" w:cs="Times New Roman"/>
      <w:b/>
      <w:bCs/>
      <w:sz w:val="24"/>
      <w:szCs w:val="24"/>
    </w:rPr>
  </w:style>
  <w:style w:type="character" w:customStyle="1" w:styleId="23">
    <w:name w:val="标题 5 Char"/>
    <w:basedOn w:val="15"/>
    <w:link w:val="7"/>
    <w:qFormat/>
    <w:uiPriority w:val="0"/>
    <w:rPr>
      <w:rFonts w:ascii="Times New Roman" w:hAnsi="Times New Roman" w:eastAsia="宋体" w:cs="思源宋体 CN Light"/>
      <w:b/>
      <w:szCs w:val="24"/>
    </w:rPr>
  </w:style>
  <w:style w:type="paragraph" w:styleId="24">
    <w:name w:val="List Paragraph"/>
    <w:basedOn w:val="1"/>
    <w:qFormat/>
    <w:uiPriority w:val="99"/>
  </w:style>
  <w:style w:type="character" w:customStyle="1" w:styleId="25">
    <w:name w:val="标题 Char"/>
    <w:basedOn w:val="15"/>
    <w:link w:val="13"/>
    <w:uiPriority w:val="10"/>
    <w:rPr>
      <w:rFonts w:asciiTheme="majorHAnsi" w:hAnsiTheme="majorHAnsi" w:eastAsiaTheme="majorEastAsia" w:cstheme="majorBidi"/>
      <w:b/>
      <w:bCs/>
      <w:sz w:val="32"/>
      <w:szCs w:val="32"/>
    </w:rPr>
  </w:style>
  <w:style w:type="character" w:customStyle="1" w:styleId="26">
    <w:name w:val="标题 3 字符"/>
    <w:uiPriority w:val="0"/>
    <w:rPr>
      <w:rFonts w:ascii="Calibri" w:hAnsi="Calibri" w:eastAsia="仿宋"/>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e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2703C8-00DC-4648-B8E3-ABE3FD2F3646}">
  <ds:schemaRefs/>
</ds:datastoreItem>
</file>

<file path=docProps/app.xml><?xml version="1.0" encoding="utf-8"?>
<Properties xmlns="http://schemas.openxmlformats.org/officeDocument/2006/extended-properties" xmlns:vt="http://schemas.openxmlformats.org/officeDocument/2006/docPropsVTypes">
  <Template>Normal</Template>
  <Pages>6</Pages>
  <Words>320</Words>
  <Characters>1828</Characters>
  <Lines>15</Lines>
  <Paragraphs>4</Paragraphs>
  <TotalTime>0</TotalTime>
  <ScaleCrop>false</ScaleCrop>
  <LinksUpToDate>false</LinksUpToDate>
  <CharactersWithSpaces>2144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2020-10-02T09:35:00Z</dcterms:created>
  <dc:creator>wangxiaodong</dc:creator>
  <cp:lastModifiedBy>Margin</cp:lastModifiedBy>
  <dcterms:modified xsi:type="dcterms:W3CDTF">2020-10-03T07:05:42Z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